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Times New Roman" w:hAnsi="Times New Roman" w:eastAsia="新細明體"/>
          <w:b/>
          <w:i w:val="0"/>
          <w:sz w:val="32"/>
        </w:rPr>
        <w:t>115 學年度第一學期 七年級 歷史 第一次段考</w:t>
      </w:r>
    </w:p>
    <w:p>
      <w:pPr>
        <w:spacing w:before="0" w:after="240"/>
        <w:jc w:val="center"/>
      </w:pPr>
      <w:r>
        <w:rPr>
          <w:rFonts w:ascii="Times New Roman" w:hAnsi="Times New Roman" w:eastAsia="新細明體"/>
          <w:b w:val="0"/>
          <w:i w:val="0"/>
          <w:sz w:val="22"/>
        </w:rPr>
        <w:t>班級：＿＿＿＿＿   座號：＿＿   姓名：＿＿＿＿＿＿＿</w:t>
      </w:r>
    </w:p>
    <w:p>
      <w:pPr>
        <w:sectPr>
          <w:pgSz w:w="11906" w:h="16838"/>
          <w:pgMar w:top="1020" w:right="1020" w:bottom="1020" w:left="1020" w:header="720" w:footer="720" w:gutter="0"/>
          <w:cols w:space="720"/>
          <w:docGrid w:linePitch="360"/>
        </w:sectPr>
      </w:pPr>
    </w:p>
    <w:p>
      <w:pPr>
        <w:keepNext/>
        <w:spacing w:before="120" w:after="40" w:line="276" w:lineRule="auto"/>
      </w:pPr>
      <w:r>
        <w:rPr>
          <w:rFonts w:ascii="Times New Roman" w:hAnsi="Times New Roman" w:eastAsia="新細明體"/>
          <w:b w:val="0"/>
          <w:i w:val="0"/>
          <w:sz w:val="21"/>
        </w:rPr>
        <w:t>1. 十七世紀初，荷蘭東印度公司為了打入東亞貿易網絡，曾於1604年與1622年兩度派兵佔領澎湖，但在明朝軍隊抵抗下，於1624年轉往何處建立據點？</w:t>
      </w:r>
    </w:p>
    <w:p>
      <w:pPr>
        <w:keepNext/>
        <w:spacing w:before="0" w:after="20" w:line="252" w:lineRule="auto"/>
        <w:ind w:left="227"/>
      </w:pPr>
      <w:r>
        <w:rPr>
          <w:rFonts w:ascii="Times New Roman" w:hAnsi="Times New Roman" w:eastAsia="新細明體"/>
          <w:b w:val="0"/>
          <w:i w:val="0"/>
          <w:sz w:val="20"/>
        </w:rPr>
        <w:t>(A) 日本長崎</w:t>
      </w:r>
    </w:p>
    <w:p>
      <w:pPr>
        <w:keepNext/>
        <w:spacing w:before="0" w:after="20" w:line="252" w:lineRule="auto"/>
        <w:ind w:left="227"/>
      </w:pPr>
      <w:r>
        <w:rPr>
          <w:rFonts w:ascii="Times New Roman" w:hAnsi="Times New Roman" w:eastAsia="新細明體"/>
          <w:b w:val="0"/>
          <w:i w:val="0"/>
          <w:sz w:val="20"/>
        </w:rPr>
        <w:t>(B) 廣州澳門</w:t>
      </w:r>
    </w:p>
    <w:p>
      <w:pPr>
        <w:keepNext/>
        <w:spacing w:before="0" w:after="20" w:line="252" w:lineRule="auto"/>
        <w:ind w:left="227"/>
      </w:pPr>
      <w:r>
        <w:rPr>
          <w:rFonts w:ascii="Times New Roman" w:hAnsi="Times New Roman" w:eastAsia="新細明體"/>
          <w:b w:val="0"/>
          <w:i w:val="0"/>
          <w:sz w:val="20"/>
        </w:rPr>
        <w:t>(C) 爪哇巴達維亞</w:t>
      </w:r>
    </w:p>
    <w:p>
      <w:pPr>
        <w:keepNext w:val="0"/>
        <w:spacing w:before="0" w:after="40" w:line="252" w:lineRule="auto"/>
        <w:ind w:left="227"/>
      </w:pPr>
      <w:r>
        <w:rPr>
          <w:rFonts w:ascii="Times New Roman" w:hAnsi="Times New Roman" w:eastAsia="新細明體"/>
          <w:b w:val="0"/>
          <w:i w:val="0"/>
          <w:sz w:val="20"/>
        </w:rPr>
        <w:t>(D) 臺灣大員</w:t>
      </w:r>
    </w:p>
    <w:p>
      <w:pPr>
        <w:keepNext/>
        <w:spacing w:before="120" w:after="40" w:line="276" w:lineRule="auto"/>
      </w:pPr>
      <w:r>
        <w:rPr>
          <w:rFonts w:ascii="Times New Roman" w:hAnsi="Times New Roman" w:eastAsia="新細明體"/>
          <w:b w:val="0"/>
          <w:i w:val="0"/>
          <w:sz w:val="21"/>
        </w:rPr>
        <w:t>2. 荷蘭人於1624年在大員沙洲興建熱蘭遮城作為行政與軍事中心，後於1653年為了強化對內海東岸腹地的控制與監控漢人，在赤崁地區興建了哪一座城堡？</w:t>
      </w:r>
    </w:p>
    <w:p>
      <w:pPr>
        <w:keepNext/>
        <w:spacing w:before="0" w:after="20" w:line="252" w:lineRule="auto"/>
        <w:ind w:left="227"/>
      </w:pPr>
      <w:r>
        <w:rPr>
          <w:rFonts w:ascii="Times New Roman" w:hAnsi="Times New Roman" w:eastAsia="新細明體"/>
          <w:b w:val="0"/>
          <w:i w:val="0"/>
          <w:sz w:val="20"/>
        </w:rPr>
        <w:t>(A) 安平鎮城</w:t>
      </w:r>
    </w:p>
    <w:p>
      <w:pPr>
        <w:keepNext/>
        <w:spacing w:before="0" w:after="20" w:line="252" w:lineRule="auto"/>
        <w:ind w:left="227"/>
      </w:pPr>
      <w:r>
        <w:rPr>
          <w:rFonts w:ascii="Times New Roman" w:hAnsi="Times New Roman" w:eastAsia="新細明體"/>
          <w:b w:val="0"/>
          <w:i w:val="0"/>
          <w:sz w:val="20"/>
        </w:rPr>
        <w:t>(B) 聖薩爾瓦多城</w:t>
      </w:r>
    </w:p>
    <w:p>
      <w:pPr>
        <w:keepNext/>
        <w:spacing w:before="0" w:after="20" w:line="252" w:lineRule="auto"/>
        <w:ind w:left="227"/>
      </w:pPr>
      <w:r>
        <w:rPr>
          <w:rFonts w:ascii="Times New Roman" w:hAnsi="Times New Roman" w:eastAsia="新細明體"/>
          <w:b w:val="0"/>
          <w:i w:val="0"/>
          <w:sz w:val="20"/>
        </w:rPr>
        <w:t>(C) 普羅民遮城</w:t>
      </w:r>
    </w:p>
    <w:p>
      <w:pPr>
        <w:keepNext w:val="0"/>
        <w:spacing w:before="0" w:after="40" w:line="252" w:lineRule="auto"/>
        <w:ind w:left="227"/>
      </w:pPr>
      <w:r>
        <w:rPr>
          <w:rFonts w:ascii="Times New Roman" w:hAnsi="Times New Roman" w:eastAsia="新細明體"/>
          <w:b w:val="0"/>
          <w:i w:val="0"/>
          <w:sz w:val="20"/>
        </w:rPr>
        <w:t>(D) 奧倫治城</w:t>
      </w:r>
    </w:p>
    <w:p>
      <w:pPr>
        <w:keepNext/>
        <w:spacing w:before="120" w:after="40" w:line="276" w:lineRule="auto"/>
      </w:pPr>
      <w:r>
        <w:rPr>
          <w:rFonts w:ascii="Times New Roman" w:hAnsi="Times New Roman" w:eastAsia="新細明體"/>
          <w:b w:val="0"/>
          <w:i w:val="0"/>
          <w:sz w:val="21"/>
        </w:rPr>
        <w:t>3. 十七世紀荷蘭東印度公司以臺灣大員為轉口樞紐，運作東亞貿易網絡。閱讀下表資訊，判斷表中的『甲』與『乙』商品分別為何者？</w:t>
      </w:r>
    </w:p>
    <w:p>
      <w:pPr>
        <w:keepNext/>
        <w:spacing w:before="40" w:after="40"/>
      </w:pPr>
      <w:r>
        <w:rPr>
          <w:rFonts w:ascii="Times New Roman" w:hAnsi="Times New Roman" w:eastAsia="新細明體"/>
          <w:b/>
          <w:i w:val="0"/>
          <w:sz w:val="20"/>
        </w:rPr>
        <w:t>表（一）</w:t>
      </w:r>
    </w:p>
    <w:tbl>
      <w:tblPr>
        <w:tblW w:type="auto" w:w="0"/>
        <w:tblLayout w:type="fixed"/>
        <w:tblLook w:firstColumn="1" w:firstRow="1" w:lastColumn="0" w:lastRow="0" w:noHBand="0" w:noVBand="1" w:val="04A0"/>
      </w:tblPr>
      <w:tblGrid>
        <w:gridCol w:w="3289"/>
        <w:gridCol w:w="3289"/>
        <w:gridCol w:w="3289"/>
      </w:tblGrid>
      <w:tr>
        <w:trPr>
          <w:tblHeader/>
          <w:cantSplit/>
        </w:trPr>
        <w:tc>
          <w:tcPr>
            <w:tcW w:type="dxa" w:w="1020"/>
            <w:shd w:fill="EAEAEA" w:val="clear"/>
            <w:tcMar>
              <w:top w:w="60" w:type="dxa"/>
              <w:bottom w:w="60" w:type="dxa"/>
              <w:left w:w="80" w:type="dxa"/>
              <w:right w:w="80" w:type="dxa"/>
            </w:tcMar>
          </w:tcPr>
          <w:p>
            <w:pPr>
              <w:keepNext/>
              <w:spacing w:after="0"/>
              <w:jc w:val="center"/>
            </w:pPr>
            <w:r>
              <w:rPr>
                <w:rFonts w:ascii="Times New Roman" w:hAnsi="Times New Roman" w:eastAsia="新細明體"/>
                <w:b/>
                <w:i w:val="0"/>
                <w:sz w:val="19"/>
              </w:rPr>
              <w:t>主要商品</w:t>
            </w:r>
          </w:p>
        </w:tc>
        <w:tc>
          <w:tcPr>
            <w:tcW w:type="dxa" w:w="1361"/>
            <w:shd w:fill="EAEAEA" w:val="clear"/>
            <w:tcMar>
              <w:top w:w="60" w:type="dxa"/>
              <w:bottom w:w="60" w:type="dxa"/>
              <w:left w:w="80" w:type="dxa"/>
              <w:right w:w="80" w:type="dxa"/>
            </w:tcMar>
          </w:tcPr>
          <w:p>
            <w:pPr>
              <w:keepNext/>
              <w:spacing w:after="0"/>
              <w:jc w:val="center"/>
            </w:pPr>
            <w:r>
              <w:rPr>
                <w:rFonts w:ascii="Times New Roman" w:hAnsi="Times New Roman" w:eastAsia="新細明體"/>
                <w:b/>
                <w:i w:val="0"/>
                <w:sz w:val="19"/>
              </w:rPr>
              <w:t>原始產地</w:t>
            </w:r>
          </w:p>
        </w:tc>
        <w:tc>
          <w:tcPr>
            <w:tcW w:type="dxa" w:w="2154"/>
            <w:shd w:fill="EAEAEA" w:val="clear"/>
            <w:tcMar>
              <w:top w:w="60" w:type="dxa"/>
              <w:bottom w:w="60" w:type="dxa"/>
              <w:left w:w="80" w:type="dxa"/>
              <w:right w:w="80" w:type="dxa"/>
            </w:tcMar>
          </w:tcPr>
          <w:p>
            <w:pPr>
              <w:keepNext/>
              <w:spacing w:after="0"/>
              <w:jc w:val="center"/>
            </w:pPr>
            <w:r>
              <w:rPr>
                <w:rFonts w:ascii="Times New Roman" w:hAnsi="Times New Roman" w:eastAsia="新細明體"/>
                <w:b/>
                <w:i w:val="0"/>
                <w:sz w:val="19"/>
              </w:rPr>
              <w:t>主要轉口與目的地</w:t>
            </w:r>
          </w:p>
        </w:tc>
      </w:tr>
      <w:tr>
        <w:trPr>
          <w:cantSplit/>
        </w:trPr>
        <w:tc>
          <w:tcPr>
            <w:tcW w:type="dxa" w:w="1020"/>
            <w:tcMar>
              <w:top w:w="60" w:type="dxa"/>
              <w:bottom w:w="60" w:type="dxa"/>
              <w:left w:w="80" w:type="dxa"/>
              <w:right w:w="80" w:type="dxa"/>
            </w:tcMar>
          </w:tcPr>
          <w:p>
            <w:pPr>
              <w:keepNext/>
              <w:spacing w:after="0"/>
              <w:jc w:val="center"/>
            </w:pPr>
            <w:r>
              <w:rPr>
                <w:rFonts w:ascii="Times New Roman" w:hAnsi="Times New Roman" w:eastAsia="新細明體"/>
                <w:b w:val="0"/>
                <w:i w:val="0"/>
                <w:sz w:val="18"/>
              </w:rPr>
              <w:t>甲商品</w:t>
            </w:r>
          </w:p>
        </w:tc>
        <w:tc>
          <w:tcPr>
            <w:tcW w:type="dxa" w:w="1361"/>
            <w:tcMar>
              <w:top w:w="60" w:type="dxa"/>
              <w:bottom w:w="60" w:type="dxa"/>
              <w:left w:w="80" w:type="dxa"/>
              <w:right w:w="80" w:type="dxa"/>
            </w:tcMar>
          </w:tcPr>
          <w:p>
            <w:pPr>
              <w:keepNext/>
              <w:spacing w:after="0"/>
              <w:jc w:val="left"/>
            </w:pPr>
            <w:r>
              <w:rPr>
                <w:rFonts w:ascii="Times New Roman" w:hAnsi="Times New Roman" w:eastAsia="新細明體"/>
                <w:b w:val="0"/>
                <w:i w:val="0"/>
                <w:sz w:val="18"/>
              </w:rPr>
              <w:t>明朝/清初中國本土</w:t>
            </w:r>
          </w:p>
        </w:tc>
        <w:tc>
          <w:tcPr>
            <w:tcW w:type="dxa" w:w="2154"/>
            <w:tcMar>
              <w:top w:w="60" w:type="dxa"/>
              <w:bottom w:w="60" w:type="dxa"/>
              <w:left w:w="80" w:type="dxa"/>
              <w:right w:w="80" w:type="dxa"/>
            </w:tcMar>
          </w:tcPr>
          <w:p>
            <w:pPr>
              <w:keepNext/>
              <w:spacing w:after="0"/>
              <w:jc w:val="left"/>
            </w:pPr>
            <w:r>
              <w:rPr>
                <w:rFonts w:ascii="Times New Roman" w:hAnsi="Times New Roman" w:eastAsia="新細明體"/>
                <w:b w:val="0"/>
                <w:i w:val="0"/>
                <w:sz w:val="18"/>
              </w:rPr>
              <w:t>明朝華商運至大員 → VOC轉運至日本長崎</w:t>
            </w:r>
          </w:p>
        </w:tc>
      </w:tr>
      <w:tr>
        <w:trPr>
          <w:cantSplit/>
        </w:trPr>
        <w:tc>
          <w:tcPr>
            <w:tcW w:type="dxa" w:w="1020"/>
            <w:tcMar>
              <w:top w:w="60" w:type="dxa"/>
              <w:bottom w:w="60" w:type="dxa"/>
              <w:left w:w="80" w:type="dxa"/>
              <w:right w:w="80" w:type="dxa"/>
            </w:tcMar>
          </w:tcPr>
          <w:p>
            <w:pPr>
              <w:keepNext/>
              <w:spacing w:after="0"/>
              <w:jc w:val="center"/>
            </w:pPr>
            <w:r>
              <w:rPr>
                <w:rFonts w:ascii="Times New Roman" w:hAnsi="Times New Roman" w:eastAsia="新細明體"/>
                <w:b w:val="0"/>
                <w:i w:val="0"/>
                <w:sz w:val="18"/>
              </w:rPr>
              <w:t>乙商品</w:t>
            </w:r>
          </w:p>
        </w:tc>
        <w:tc>
          <w:tcPr>
            <w:tcW w:type="dxa" w:w="1361"/>
            <w:tcMar>
              <w:top w:w="60" w:type="dxa"/>
              <w:bottom w:w="60" w:type="dxa"/>
              <w:left w:w="80" w:type="dxa"/>
              <w:right w:w="80" w:type="dxa"/>
            </w:tcMar>
          </w:tcPr>
          <w:p>
            <w:pPr>
              <w:keepNext/>
              <w:spacing w:after="0"/>
              <w:jc w:val="left"/>
            </w:pPr>
            <w:r>
              <w:rPr>
                <w:rFonts w:ascii="Times New Roman" w:hAnsi="Times New Roman" w:eastAsia="新細明體"/>
                <w:b w:val="0"/>
                <w:i w:val="0"/>
                <w:sz w:val="18"/>
              </w:rPr>
              <w:t>日本（石見銀山等）</w:t>
            </w:r>
          </w:p>
        </w:tc>
        <w:tc>
          <w:tcPr>
            <w:tcW w:type="dxa" w:w="2154"/>
            <w:tcMar>
              <w:top w:w="60" w:type="dxa"/>
              <w:bottom w:w="60" w:type="dxa"/>
              <w:left w:w="80" w:type="dxa"/>
              <w:right w:w="80" w:type="dxa"/>
            </w:tcMar>
          </w:tcPr>
          <w:p>
            <w:pPr>
              <w:keepNext/>
              <w:spacing w:after="0"/>
              <w:jc w:val="left"/>
            </w:pPr>
            <w:r>
              <w:rPr>
                <w:rFonts w:ascii="Times New Roman" w:hAnsi="Times New Roman" w:eastAsia="新細明體"/>
                <w:b w:val="0"/>
                <w:i w:val="0"/>
                <w:sz w:val="18"/>
              </w:rPr>
              <w:t>日本長崎 → 大員 → 巴達維亞/印度</w:t>
            </w:r>
          </w:p>
        </w:tc>
      </w:tr>
    </w:tbl>
    <w:p>
      <w:pPr>
        <w:keepNext/>
        <w:spacing w:before="0" w:after="40"/>
      </w:pPr>
    </w:p>
    <w:p>
      <w:pPr>
        <w:keepNext/>
        <w:spacing w:before="0" w:after="20" w:line="252" w:lineRule="auto"/>
        <w:ind w:left="227"/>
      </w:pPr>
      <w:r>
        <w:rPr>
          <w:rFonts w:ascii="Times New Roman" w:hAnsi="Times New Roman" w:eastAsia="新細明體"/>
          <w:b w:val="0"/>
          <w:i w:val="0"/>
          <w:sz w:val="20"/>
        </w:rPr>
        <w:t>(A) 甲：中國生絲；乙：日本白銀</w:t>
      </w:r>
    </w:p>
    <w:p>
      <w:pPr>
        <w:keepNext/>
        <w:spacing w:before="0" w:after="20" w:line="252" w:lineRule="auto"/>
        <w:ind w:left="227"/>
      </w:pPr>
      <w:r>
        <w:rPr>
          <w:rFonts w:ascii="Times New Roman" w:hAnsi="Times New Roman" w:eastAsia="新細明體"/>
          <w:b w:val="0"/>
          <w:i w:val="0"/>
          <w:sz w:val="20"/>
        </w:rPr>
        <w:t>(B) 甲：臺灣鹿皮；乙：印度棉布</w:t>
      </w:r>
    </w:p>
    <w:p>
      <w:pPr>
        <w:keepNext/>
        <w:spacing w:before="0" w:after="20" w:line="252" w:lineRule="auto"/>
        <w:ind w:left="227"/>
      </w:pPr>
      <w:r>
        <w:rPr>
          <w:rFonts w:ascii="Times New Roman" w:hAnsi="Times New Roman" w:eastAsia="新細明體"/>
          <w:b w:val="0"/>
          <w:i w:val="0"/>
          <w:sz w:val="20"/>
        </w:rPr>
        <w:t>(C) 甲：日本白銀；乙：中國生絲</w:t>
      </w:r>
    </w:p>
    <w:p>
      <w:pPr>
        <w:keepNext w:val="0"/>
        <w:spacing w:before="0" w:after="40" w:line="252" w:lineRule="auto"/>
        <w:ind w:left="227"/>
      </w:pPr>
      <w:r>
        <w:rPr>
          <w:rFonts w:ascii="Times New Roman" w:hAnsi="Times New Roman" w:eastAsia="新細明體"/>
          <w:b w:val="0"/>
          <w:i w:val="0"/>
          <w:sz w:val="20"/>
        </w:rPr>
        <w:t>(D) 甲：臺灣蔗糖；乙：中國黃金</w:t>
      </w:r>
    </w:p>
    <w:p>
      <w:pPr>
        <w:keepNext/>
        <w:spacing w:before="120" w:after="40" w:line="276" w:lineRule="auto"/>
      </w:pPr>
      <w:r>
        <w:rPr>
          <w:rFonts w:ascii="Times New Roman" w:hAnsi="Times New Roman" w:eastAsia="新細明體"/>
          <w:b w:val="0"/>
          <w:i w:val="0"/>
          <w:sz w:val="21"/>
        </w:rPr>
        <w:t>4. 1650年代大員港道淤淺，平時水深僅餘9呎左右，導致吃水深的歸國海船無法進港。荷蘭東印度公司對此採取了下列哪一種營運調整策略？</w:t>
      </w:r>
    </w:p>
    <w:p>
      <w:pPr>
        <w:keepNext/>
        <w:spacing w:before="0" w:after="20" w:line="252" w:lineRule="auto"/>
        <w:ind w:left="227"/>
      </w:pPr>
      <w:r>
        <w:rPr>
          <w:rFonts w:ascii="Times New Roman" w:hAnsi="Times New Roman" w:eastAsia="新細明體"/>
          <w:b w:val="0"/>
          <w:i w:val="0"/>
          <w:sz w:val="20"/>
        </w:rPr>
        <w:t>(A) 改用吃水10呎以下的平底船經澎湖轉運</w:t>
      </w:r>
    </w:p>
    <w:p>
      <w:pPr>
        <w:keepNext/>
        <w:spacing w:before="0" w:after="20" w:line="252" w:lineRule="auto"/>
        <w:ind w:left="227"/>
      </w:pPr>
      <w:r>
        <w:rPr>
          <w:rFonts w:ascii="Times New Roman" w:hAnsi="Times New Roman" w:eastAsia="新細明體"/>
          <w:b w:val="0"/>
          <w:i w:val="0"/>
          <w:sz w:val="20"/>
        </w:rPr>
        <w:t>(B) 強迫明朝華商改至基隆與淡水開港</w:t>
      </w:r>
    </w:p>
    <w:p>
      <w:pPr>
        <w:keepNext/>
        <w:spacing w:before="0" w:after="20" w:line="252" w:lineRule="auto"/>
        <w:ind w:left="227"/>
      </w:pPr>
      <w:r>
        <w:rPr>
          <w:rFonts w:ascii="Times New Roman" w:hAnsi="Times New Roman" w:eastAsia="新細明體"/>
          <w:b w:val="0"/>
          <w:i w:val="0"/>
          <w:sz w:val="20"/>
        </w:rPr>
        <w:t>(C) 放棄大員港口並全數撤回巴達維亞</w:t>
      </w:r>
    </w:p>
    <w:p>
      <w:pPr>
        <w:keepNext w:val="0"/>
        <w:spacing w:before="0" w:after="40" w:line="252" w:lineRule="auto"/>
        <w:ind w:left="227"/>
      </w:pPr>
      <w:r>
        <w:rPr>
          <w:rFonts w:ascii="Times New Roman" w:hAnsi="Times New Roman" w:eastAsia="新細明體"/>
          <w:b w:val="0"/>
          <w:i w:val="0"/>
          <w:sz w:val="20"/>
        </w:rPr>
        <w:t>(D) 開挖臺江內海將水深加深至20呎</w:t>
      </w:r>
    </w:p>
    <w:p>
      <w:pPr>
        <w:keepNext/>
        <w:spacing w:before="120" w:after="40" w:line="276" w:lineRule="auto"/>
      </w:pPr>
      <w:r>
        <w:rPr>
          <w:rFonts w:ascii="Times New Roman" w:hAnsi="Times New Roman" w:eastAsia="新細明體"/>
          <w:b w:val="0"/>
          <w:i w:val="0"/>
          <w:sz w:val="21"/>
        </w:rPr>
        <w:t>5. 1640–1650年代明清交替之際，中國沿海戰亂導致中國生絲輸臺數量驟減。荷蘭東印度公司為了維持對日本貿易，開闢了哪一條生絲新航線？</w:t>
      </w:r>
    </w:p>
    <w:p>
      <w:pPr>
        <w:keepNext/>
        <w:spacing w:before="0" w:after="20" w:line="252" w:lineRule="auto"/>
        <w:ind w:left="227"/>
      </w:pPr>
      <w:r>
        <w:rPr>
          <w:rFonts w:ascii="Times New Roman" w:hAnsi="Times New Roman" w:eastAsia="新細明體"/>
          <w:b w:val="0"/>
          <w:i w:val="0"/>
          <w:sz w:val="20"/>
        </w:rPr>
        <w:t>(A) 經由菲律賓馬尼拉直接向西班牙購入</w:t>
      </w:r>
    </w:p>
    <w:p>
      <w:pPr>
        <w:keepNext/>
        <w:spacing w:before="0" w:after="20" w:line="252" w:lineRule="auto"/>
        <w:ind w:left="227"/>
      </w:pPr>
      <w:r>
        <w:rPr>
          <w:rFonts w:ascii="Times New Roman" w:hAnsi="Times New Roman" w:eastAsia="新細明體"/>
          <w:b w:val="0"/>
          <w:i w:val="0"/>
          <w:sz w:val="20"/>
        </w:rPr>
        <w:t>(B) 完全停止對日貿易轉而全數出口鹿皮</w:t>
      </w:r>
    </w:p>
    <w:p>
      <w:pPr>
        <w:keepNext/>
        <w:spacing w:before="0" w:after="20" w:line="252" w:lineRule="auto"/>
        <w:ind w:left="227"/>
      </w:pPr>
      <w:r>
        <w:rPr>
          <w:rFonts w:ascii="Times New Roman" w:hAnsi="Times New Roman" w:eastAsia="新細明體"/>
          <w:b w:val="0"/>
          <w:i w:val="0"/>
          <w:sz w:val="20"/>
        </w:rPr>
        <w:t>(C) 孟加拉生絲經巴達維亞轉運至臺灣與日本</w:t>
      </w:r>
    </w:p>
    <w:p>
      <w:pPr>
        <w:keepNext w:val="0"/>
        <w:spacing w:before="0" w:after="40" w:line="252" w:lineRule="auto"/>
        <w:ind w:left="227"/>
      </w:pPr>
      <w:r>
        <w:rPr>
          <w:rFonts w:ascii="Times New Roman" w:hAnsi="Times New Roman" w:eastAsia="新細明體"/>
          <w:b w:val="0"/>
          <w:i w:val="0"/>
          <w:sz w:val="20"/>
        </w:rPr>
        <w:t>(D) 臺灣本土大量抽絲剝繭自產生絲外銷</w:t>
      </w:r>
    </w:p>
    <w:p>
      <w:pPr>
        <w:keepNext/>
        <w:spacing w:before="120" w:after="40" w:line="276" w:lineRule="auto"/>
      </w:pPr>
      <w:r>
        <w:rPr>
          <w:rFonts w:ascii="Times New Roman" w:hAnsi="Times New Roman" w:eastAsia="新細明體"/>
          <w:b w:val="0"/>
          <w:i w:val="0"/>
          <w:sz w:val="21"/>
        </w:rPr>
        <w:t>6. 荷蘭殖民政府主張全臺土地屬於荷蘭聯省共和國，漢人開墾的土地皆稱為『王田』。關於『王田制度』下漢人墾戶的權利義務，下列何者正確？</w:t>
      </w:r>
    </w:p>
    <w:p>
      <w:pPr>
        <w:keepNext/>
        <w:spacing w:before="0" w:after="20" w:line="252" w:lineRule="auto"/>
        <w:ind w:left="227"/>
      </w:pPr>
      <w:r>
        <w:rPr>
          <w:rFonts w:ascii="Times New Roman" w:hAnsi="Times New Roman" w:eastAsia="新細明體"/>
          <w:b w:val="0"/>
          <w:i w:val="0"/>
          <w:sz w:val="20"/>
        </w:rPr>
        <w:t>(A) 免繳任何賦稅但須強制服兵役屯田</w:t>
      </w:r>
    </w:p>
    <w:p>
      <w:pPr>
        <w:keepNext/>
        <w:spacing w:before="0" w:after="20" w:line="252" w:lineRule="auto"/>
        <w:ind w:left="227"/>
      </w:pPr>
      <w:r>
        <w:rPr>
          <w:rFonts w:ascii="Times New Roman" w:hAnsi="Times New Roman" w:eastAsia="新細明體"/>
          <w:b w:val="0"/>
          <w:i w:val="0"/>
          <w:sz w:val="20"/>
        </w:rPr>
        <w:t>(B) 擁有土地所有權並可自由買賣土地</w:t>
      </w:r>
    </w:p>
    <w:p>
      <w:pPr>
        <w:keepNext/>
        <w:spacing w:before="0" w:after="20" w:line="252" w:lineRule="auto"/>
        <w:ind w:left="227"/>
      </w:pPr>
      <w:r>
        <w:rPr>
          <w:rFonts w:ascii="Times New Roman" w:hAnsi="Times New Roman" w:eastAsia="新細明體"/>
          <w:b w:val="0"/>
          <w:i w:val="0"/>
          <w:sz w:val="20"/>
        </w:rPr>
        <w:t>(C) 由公司無償贈予土地並享有免稅特權</w:t>
      </w:r>
    </w:p>
    <w:p>
      <w:pPr>
        <w:keepNext w:val="0"/>
        <w:spacing w:before="0" w:after="40" w:line="252" w:lineRule="auto"/>
        <w:ind w:left="227"/>
      </w:pPr>
      <w:r>
        <w:rPr>
          <w:rFonts w:ascii="Times New Roman" w:hAnsi="Times New Roman" w:eastAsia="新細明體"/>
          <w:b w:val="0"/>
          <w:i w:val="0"/>
          <w:sz w:val="20"/>
        </w:rPr>
        <w:t>(D) 僅擁有耕作權且須繳地租與人頭稅</w:t>
      </w:r>
    </w:p>
    <w:p>
      <w:pPr>
        <w:keepNext/>
        <w:spacing w:before="120" w:after="40" w:line="276" w:lineRule="auto"/>
      </w:pPr>
      <w:r>
        <w:rPr>
          <w:rFonts w:ascii="Times New Roman" w:hAnsi="Times New Roman" w:eastAsia="新細明體"/>
          <w:b w:val="0"/>
          <w:i w:val="0"/>
          <w:sz w:val="21"/>
        </w:rPr>
        <w:t>7. 社會科老師在備課時整理了荷治時期四大核心殖民制度比較表如下。根據表中的內容與史實，下列哪一項制度的說明完全正確？</w:t>
      </w:r>
    </w:p>
    <w:p>
      <w:pPr>
        <w:keepNext/>
        <w:spacing w:before="40" w:after="40"/>
      </w:pPr>
      <w:r>
        <w:rPr>
          <w:rFonts w:ascii="Times New Roman" w:hAnsi="Times New Roman" w:eastAsia="新細明體"/>
          <w:b/>
          <w:i w:val="0"/>
          <w:sz w:val="20"/>
        </w:rPr>
        <w:t>表（二）</w:t>
      </w:r>
    </w:p>
    <w:tbl>
      <w:tblPr>
        <w:tblW w:type="auto" w:w="0"/>
        <w:tblLayout w:type="fixed"/>
        <w:tblLook w:firstColumn="1" w:firstRow="1" w:lastColumn="0" w:lastRow="0" w:noHBand="0" w:noVBand="1" w:val="04A0"/>
      </w:tblPr>
      <w:tblGrid>
        <w:gridCol w:w="3289"/>
        <w:gridCol w:w="3289"/>
        <w:gridCol w:w="3289"/>
      </w:tblGrid>
      <w:tr>
        <w:trPr>
          <w:tblHeader/>
          <w:cantSplit/>
        </w:trPr>
        <w:tc>
          <w:tcPr>
            <w:tcW w:type="dxa" w:w="1020"/>
            <w:shd w:fill="EAEAEA" w:val="clear"/>
            <w:tcMar>
              <w:top w:w="60" w:type="dxa"/>
              <w:bottom w:w="60" w:type="dxa"/>
              <w:left w:w="80" w:type="dxa"/>
              <w:right w:w="80" w:type="dxa"/>
            </w:tcMar>
          </w:tcPr>
          <w:p>
            <w:pPr>
              <w:keepNext/>
              <w:spacing w:after="0"/>
              <w:jc w:val="center"/>
            </w:pPr>
            <w:r>
              <w:rPr>
                <w:rFonts w:ascii="Times New Roman" w:hAnsi="Times New Roman" w:eastAsia="新細明體"/>
                <w:b/>
                <w:i w:val="0"/>
                <w:sz w:val="19"/>
              </w:rPr>
              <w:t>制度名稱</w:t>
            </w:r>
          </w:p>
        </w:tc>
        <w:tc>
          <w:tcPr>
            <w:tcW w:type="dxa" w:w="1361"/>
            <w:shd w:fill="EAEAEA" w:val="clear"/>
            <w:tcMar>
              <w:top w:w="60" w:type="dxa"/>
              <w:bottom w:w="60" w:type="dxa"/>
              <w:left w:w="80" w:type="dxa"/>
              <w:right w:w="80" w:type="dxa"/>
            </w:tcMar>
          </w:tcPr>
          <w:p>
            <w:pPr>
              <w:keepNext/>
              <w:spacing w:after="0"/>
              <w:jc w:val="center"/>
            </w:pPr>
            <w:r>
              <w:rPr>
                <w:rFonts w:ascii="Times New Roman" w:hAnsi="Times New Roman" w:eastAsia="新細明體"/>
                <w:b/>
                <w:i w:val="0"/>
                <w:sz w:val="19"/>
              </w:rPr>
              <w:t>建立背景與時間</w:t>
            </w:r>
          </w:p>
        </w:tc>
        <w:tc>
          <w:tcPr>
            <w:tcW w:type="dxa" w:w="2154"/>
            <w:shd w:fill="EAEAEA" w:val="clear"/>
            <w:tcMar>
              <w:top w:w="60" w:type="dxa"/>
              <w:bottom w:w="60" w:type="dxa"/>
              <w:left w:w="80" w:type="dxa"/>
              <w:right w:w="80" w:type="dxa"/>
            </w:tcMar>
          </w:tcPr>
          <w:p>
            <w:pPr>
              <w:keepNext/>
              <w:spacing w:after="0"/>
              <w:jc w:val="center"/>
            </w:pPr>
            <w:r>
              <w:rPr>
                <w:rFonts w:ascii="Times New Roman" w:hAnsi="Times New Roman" w:eastAsia="新細明體"/>
                <w:b/>
                <w:i w:val="0"/>
                <w:sz w:val="19"/>
              </w:rPr>
              <w:t>核心運行機制與歷史影響</w:t>
            </w:r>
          </w:p>
        </w:tc>
      </w:tr>
      <w:tr>
        <w:trPr>
          <w:cantSplit/>
        </w:trPr>
        <w:tc>
          <w:tcPr>
            <w:tcW w:type="dxa" w:w="1020"/>
            <w:tcMar>
              <w:top w:w="60" w:type="dxa"/>
              <w:bottom w:w="60" w:type="dxa"/>
              <w:left w:w="80" w:type="dxa"/>
              <w:right w:w="80" w:type="dxa"/>
            </w:tcMar>
          </w:tcPr>
          <w:p>
            <w:pPr>
              <w:keepNext/>
              <w:spacing w:after="0"/>
              <w:jc w:val="center"/>
            </w:pPr>
            <w:r>
              <w:rPr>
                <w:rFonts w:ascii="Times New Roman" w:hAnsi="Times New Roman" w:eastAsia="新細明體"/>
                <w:b w:val="0"/>
                <w:i w:val="0"/>
                <w:sz w:val="18"/>
              </w:rPr>
              <w:t>甲、地方會議</w:t>
            </w:r>
          </w:p>
        </w:tc>
        <w:tc>
          <w:tcPr>
            <w:tcW w:type="dxa" w:w="1361"/>
            <w:tcMar>
              <w:top w:w="60" w:type="dxa"/>
              <w:bottom w:w="60" w:type="dxa"/>
              <w:left w:w="80" w:type="dxa"/>
              <w:right w:w="80" w:type="dxa"/>
            </w:tcMar>
          </w:tcPr>
          <w:p>
            <w:pPr>
              <w:keepNext/>
              <w:spacing w:after="0"/>
              <w:jc w:val="left"/>
            </w:pPr>
            <w:r>
              <w:rPr>
                <w:rFonts w:ascii="Times New Roman" w:hAnsi="Times New Roman" w:eastAsia="新細明體"/>
                <w:b w:val="0"/>
                <w:i w:val="0"/>
                <w:sz w:val="18"/>
              </w:rPr>
              <w:t>1636年試行，1644年制度化</w:t>
            </w:r>
          </w:p>
        </w:tc>
        <w:tc>
          <w:tcPr>
            <w:tcW w:type="dxa" w:w="2154"/>
            <w:tcMar>
              <w:top w:w="60" w:type="dxa"/>
              <w:bottom w:w="60" w:type="dxa"/>
              <w:left w:w="80" w:type="dxa"/>
              <w:right w:w="80" w:type="dxa"/>
            </w:tcMar>
          </w:tcPr>
          <w:p>
            <w:pPr>
              <w:keepNext/>
              <w:spacing w:after="0"/>
              <w:jc w:val="left"/>
            </w:pPr>
            <w:r>
              <w:rPr>
                <w:rFonts w:ascii="Times New Roman" w:hAnsi="Times New Roman" w:eastAsia="新細明體"/>
                <w:b w:val="0"/>
                <w:i w:val="0"/>
                <w:sz w:val="18"/>
              </w:rPr>
              <w:t>長官頒藤杖給長老，建立首次中央與地方二級行政體系</w:t>
            </w:r>
          </w:p>
        </w:tc>
      </w:tr>
      <w:tr>
        <w:trPr>
          <w:cantSplit/>
        </w:trPr>
        <w:tc>
          <w:tcPr>
            <w:tcW w:type="dxa" w:w="1020"/>
            <w:tcMar>
              <w:top w:w="60" w:type="dxa"/>
              <w:bottom w:w="60" w:type="dxa"/>
              <w:left w:w="80" w:type="dxa"/>
              <w:right w:w="80" w:type="dxa"/>
            </w:tcMar>
          </w:tcPr>
          <w:p>
            <w:pPr>
              <w:keepNext/>
              <w:spacing w:after="0"/>
              <w:jc w:val="center"/>
            </w:pPr>
            <w:r>
              <w:rPr>
                <w:rFonts w:ascii="Times New Roman" w:hAnsi="Times New Roman" w:eastAsia="新細明體"/>
                <w:b w:val="0"/>
                <w:i w:val="0"/>
                <w:sz w:val="18"/>
              </w:rPr>
              <w:t>乙、贌社制度</w:t>
            </w:r>
          </w:p>
        </w:tc>
        <w:tc>
          <w:tcPr>
            <w:tcW w:type="dxa" w:w="1361"/>
            <w:tcMar>
              <w:top w:w="60" w:type="dxa"/>
              <w:bottom w:w="60" w:type="dxa"/>
              <w:left w:w="80" w:type="dxa"/>
              <w:right w:w="80" w:type="dxa"/>
            </w:tcMar>
          </w:tcPr>
          <w:p>
            <w:pPr>
              <w:keepNext/>
              <w:spacing w:after="0"/>
              <w:jc w:val="left"/>
            </w:pPr>
            <w:r>
              <w:rPr>
                <w:rFonts w:ascii="Times New Roman" w:hAnsi="Times New Roman" w:eastAsia="新細明體"/>
                <w:b w:val="0"/>
                <w:i w:val="0"/>
                <w:sz w:val="18"/>
              </w:rPr>
              <w:t>1642–1644年確立</w:t>
            </w:r>
          </w:p>
        </w:tc>
        <w:tc>
          <w:tcPr>
            <w:tcW w:type="dxa" w:w="2154"/>
            <w:tcMar>
              <w:top w:w="60" w:type="dxa"/>
              <w:bottom w:w="60" w:type="dxa"/>
              <w:left w:w="80" w:type="dxa"/>
              <w:right w:w="80" w:type="dxa"/>
            </w:tcMar>
          </w:tcPr>
          <w:p>
            <w:pPr>
              <w:keepNext/>
              <w:spacing w:after="0"/>
              <w:jc w:val="left"/>
            </w:pPr>
            <w:r>
              <w:rPr>
                <w:rFonts w:ascii="Times New Roman" w:hAnsi="Times New Roman" w:eastAsia="新細明體"/>
                <w:b w:val="0"/>
                <w:i w:val="0"/>
                <w:sz w:val="18"/>
              </w:rPr>
              <w:t>公司鼓勵漢人與原住民自由貿易，完全不抽取任何承包金</w:t>
            </w:r>
          </w:p>
        </w:tc>
      </w:tr>
      <w:tr>
        <w:trPr>
          <w:cantSplit/>
        </w:trPr>
        <w:tc>
          <w:tcPr>
            <w:tcW w:type="dxa" w:w="1020"/>
            <w:tcMar>
              <w:top w:w="60" w:type="dxa"/>
              <w:bottom w:w="60" w:type="dxa"/>
              <w:left w:w="80" w:type="dxa"/>
              <w:right w:w="80" w:type="dxa"/>
            </w:tcMar>
          </w:tcPr>
          <w:p>
            <w:pPr>
              <w:keepNext/>
              <w:spacing w:after="0"/>
              <w:jc w:val="center"/>
            </w:pPr>
            <w:r>
              <w:rPr>
                <w:rFonts w:ascii="Times New Roman" w:hAnsi="Times New Roman" w:eastAsia="新細明體"/>
                <w:b w:val="0"/>
                <w:i w:val="0"/>
                <w:sz w:val="18"/>
              </w:rPr>
              <w:t>丙、王田制度</w:t>
            </w:r>
          </w:p>
        </w:tc>
        <w:tc>
          <w:tcPr>
            <w:tcW w:type="dxa" w:w="1361"/>
            <w:tcMar>
              <w:top w:w="60" w:type="dxa"/>
              <w:bottom w:w="60" w:type="dxa"/>
              <w:left w:w="80" w:type="dxa"/>
              <w:right w:w="80" w:type="dxa"/>
            </w:tcMar>
          </w:tcPr>
          <w:p>
            <w:pPr>
              <w:keepNext/>
              <w:spacing w:after="0"/>
              <w:jc w:val="left"/>
            </w:pPr>
            <w:r>
              <w:rPr>
                <w:rFonts w:ascii="Times New Roman" w:hAnsi="Times New Roman" w:eastAsia="新細明體"/>
                <w:b w:val="0"/>
                <w:i w:val="0"/>
                <w:sz w:val="18"/>
              </w:rPr>
              <w:t>荷治中後期</w:t>
            </w:r>
          </w:p>
        </w:tc>
        <w:tc>
          <w:tcPr>
            <w:tcW w:type="dxa" w:w="2154"/>
            <w:tcMar>
              <w:top w:w="60" w:type="dxa"/>
              <w:bottom w:w="60" w:type="dxa"/>
              <w:left w:w="80" w:type="dxa"/>
              <w:right w:w="80" w:type="dxa"/>
            </w:tcMar>
          </w:tcPr>
          <w:p>
            <w:pPr>
              <w:keepNext/>
              <w:spacing w:after="0"/>
              <w:jc w:val="left"/>
            </w:pPr>
            <w:r>
              <w:rPr>
                <w:rFonts w:ascii="Times New Roman" w:hAnsi="Times New Roman" w:eastAsia="新細明體"/>
                <w:b w:val="0"/>
                <w:i w:val="0"/>
                <w:sz w:val="18"/>
              </w:rPr>
              <w:t>將土地所有權無償頒給漢人，廢除人頭稅以獎勵移民</w:t>
            </w:r>
          </w:p>
        </w:tc>
      </w:tr>
      <w:tr>
        <w:trPr>
          <w:cantSplit/>
        </w:trPr>
        <w:tc>
          <w:tcPr>
            <w:tcW w:type="dxa" w:w="1020"/>
            <w:tcMar>
              <w:top w:w="60" w:type="dxa"/>
              <w:bottom w:w="60" w:type="dxa"/>
              <w:left w:w="80" w:type="dxa"/>
              <w:right w:w="80" w:type="dxa"/>
            </w:tcMar>
          </w:tcPr>
          <w:p>
            <w:pPr>
              <w:keepNext/>
              <w:spacing w:after="0"/>
              <w:jc w:val="center"/>
            </w:pPr>
            <w:r>
              <w:rPr>
                <w:rFonts w:ascii="Times New Roman" w:hAnsi="Times New Roman" w:eastAsia="新細明體"/>
                <w:b w:val="0"/>
                <w:i w:val="0"/>
                <w:sz w:val="18"/>
              </w:rPr>
              <w:t>丁、新港文書</w:t>
            </w:r>
          </w:p>
        </w:tc>
        <w:tc>
          <w:tcPr>
            <w:tcW w:type="dxa" w:w="1361"/>
            <w:tcMar>
              <w:top w:w="60" w:type="dxa"/>
              <w:bottom w:w="60" w:type="dxa"/>
              <w:left w:w="80" w:type="dxa"/>
              <w:right w:w="80" w:type="dxa"/>
            </w:tcMar>
          </w:tcPr>
          <w:p>
            <w:pPr>
              <w:keepNext/>
              <w:spacing w:after="0"/>
              <w:jc w:val="left"/>
            </w:pPr>
            <w:r>
              <w:rPr>
                <w:rFonts w:ascii="Times New Roman" w:hAnsi="Times New Roman" w:eastAsia="新細明體"/>
                <w:b w:val="0"/>
                <w:i w:val="0"/>
                <w:sz w:val="18"/>
              </w:rPr>
              <w:t>1620年代末引進</w:t>
            </w:r>
          </w:p>
        </w:tc>
        <w:tc>
          <w:tcPr>
            <w:tcW w:type="dxa" w:w="2154"/>
            <w:tcMar>
              <w:top w:w="60" w:type="dxa"/>
              <w:bottom w:w="60" w:type="dxa"/>
              <w:left w:w="80" w:type="dxa"/>
              <w:right w:w="80" w:type="dxa"/>
            </w:tcMar>
          </w:tcPr>
          <w:p>
            <w:pPr>
              <w:keepNext/>
              <w:spacing w:after="0"/>
              <w:jc w:val="left"/>
            </w:pPr>
            <w:r>
              <w:rPr>
                <w:rFonts w:ascii="Times New Roman" w:hAnsi="Times New Roman" w:eastAsia="新細明體"/>
                <w:b w:val="0"/>
                <w:i w:val="0"/>
                <w:sz w:val="18"/>
              </w:rPr>
              <w:t>荷蘭撤離後原住民立即停止使用，清代文獻中已無記載</w:t>
            </w:r>
          </w:p>
        </w:tc>
      </w:tr>
    </w:tbl>
    <w:p>
      <w:pPr>
        <w:keepNext/>
        <w:spacing w:before="0" w:after="40"/>
      </w:pPr>
    </w:p>
    <w:p>
      <w:pPr>
        <w:keepNext/>
        <w:spacing w:before="0" w:after="20" w:line="252" w:lineRule="auto"/>
        <w:ind w:left="227"/>
      </w:pPr>
      <w:r>
        <w:rPr>
          <w:rFonts w:ascii="Times New Roman" w:hAnsi="Times New Roman" w:eastAsia="新細明體"/>
          <w:b w:val="0"/>
          <w:i w:val="0"/>
          <w:sz w:val="20"/>
        </w:rPr>
        <w:t>(A) 丁</w:t>
      </w:r>
    </w:p>
    <w:p>
      <w:pPr>
        <w:keepNext/>
        <w:spacing w:before="0" w:after="20" w:line="252" w:lineRule="auto"/>
        <w:ind w:left="227"/>
      </w:pPr>
      <w:r>
        <w:rPr>
          <w:rFonts w:ascii="Times New Roman" w:hAnsi="Times New Roman" w:eastAsia="新細明體"/>
          <w:b w:val="0"/>
          <w:i w:val="0"/>
          <w:sz w:val="20"/>
        </w:rPr>
        <w:t>(B) 丙</w:t>
      </w:r>
    </w:p>
    <w:p>
      <w:pPr>
        <w:keepNext/>
        <w:spacing w:before="0" w:after="20" w:line="252" w:lineRule="auto"/>
        <w:ind w:left="227"/>
      </w:pPr>
      <w:r>
        <w:rPr>
          <w:rFonts w:ascii="Times New Roman" w:hAnsi="Times New Roman" w:eastAsia="新細明體"/>
          <w:b w:val="0"/>
          <w:i w:val="0"/>
          <w:sz w:val="20"/>
        </w:rPr>
        <w:t>(C) 甲</w:t>
      </w:r>
    </w:p>
    <w:p>
      <w:pPr>
        <w:keepNext w:val="0"/>
        <w:spacing w:before="0" w:after="40" w:line="252" w:lineRule="auto"/>
        <w:ind w:left="227"/>
      </w:pPr>
      <w:r>
        <w:rPr>
          <w:rFonts w:ascii="Times New Roman" w:hAnsi="Times New Roman" w:eastAsia="新細明體"/>
          <w:b w:val="0"/>
          <w:i w:val="0"/>
          <w:sz w:val="20"/>
        </w:rPr>
        <w:t>(D) 乙</w:t>
      </w:r>
    </w:p>
    <w:p>
      <w:pPr>
        <w:keepNext/>
        <w:spacing w:before="120" w:after="40" w:line="276" w:lineRule="auto"/>
      </w:pPr>
      <w:r>
        <w:rPr>
          <w:rFonts w:ascii="Times New Roman" w:hAnsi="Times New Roman" w:eastAsia="新細明體"/>
          <w:b w:val="0"/>
          <w:i w:val="0"/>
          <w:sz w:val="21"/>
        </w:rPr>
        <w:t>8. 1635年底至1636年初，荷東公司發動軍事征討擊敗麻豆社等部落並簽訂《麻豆條約》。原住民讓渡了哪些權利，使VOC擺脫『租客』身份成為統治者？</w:t>
      </w:r>
    </w:p>
    <w:p>
      <w:pPr>
        <w:keepNext/>
        <w:spacing w:before="0" w:after="20" w:line="252" w:lineRule="auto"/>
        <w:ind w:left="227"/>
      </w:pPr>
      <w:r>
        <w:rPr>
          <w:rFonts w:ascii="Times New Roman" w:hAnsi="Times New Roman" w:eastAsia="新細明體"/>
          <w:b w:val="0"/>
          <w:i w:val="0"/>
          <w:sz w:val="20"/>
        </w:rPr>
        <w:t>(A) 宗教信仰選擇權與外交權</w:t>
      </w:r>
    </w:p>
    <w:p>
      <w:pPr>
        <w:keepNext/>
        <w:spacing w:before="0" w:after="20" w:line="252" w:lineRule="auto"/>
        <w:ind w:left="227"/>
      </w:pPr>
      <w:r>
        <w:rPr>
          <w:rFonts w:ascii="Times New Roman" w:hAnsi="Times New Roman" w:eastAsia="新細明體"/>
          <w:b w:val="0"/>
          <w:i w:val="0"/>
          <w:sz w:val="20"/>
        </w:rPr>
        <w:t>(B) 水牛飼養權與稻米外銷權</w:t>
      </w:r>
    </w:p>
    <w:p>
      <w:pPr>
        <w:keepNext/>
        <w:spacing w:before="0" w:after="20" w:line="252" w:lineRule="auto"/>
        <w:ind w:left="227"/>
      </w:pPr>
      <w:r>
        <w:rPr>
          <w:rFonts w:ascii="Times New Roman" w:hAnsi="Times New Roman" w:eastAsia="新細明體"/>
          <w:b w:val="0"/>
          <w:i w:val="0"/>
          <w:sz w:val="20"/>
        </w:rPr>
        <w:t>(C) 司法權與土地財產權</w:t>
      </w:r>
    </w:p>
    <w:p>
      <w:pPr>
        <w:keepNext w:val="0"/>
        <w:spacing w:before="0" w:after="40" w:line="252" w:lineRule="auto"/>
        <w:ind w:left="227"/>
      </w:pPr>
      <w:r>
        <w:rPr>
          <w:rFonts w:ascii="Times New Roman" w:hAnsi="Times New Roman" w:eastAsia="新細明體"/>
          <w:b w:val="0"/>
          <w:i w:val="0"/>
          <w:sz w:val="20"/>
        </w:rPr>
        <w:t>(D) 鹿皮採集獨佔權與築城權</w:t>
      </w:r>
    </w:p>
    <w:p>
      <w:pPr>
        <w:keepNext/>
        <w:spacing w:before="120" w:after="40" w:line="276" w:lineRule="auto"/>
      </w:pPr>
      <w:r>
        <w:rPr>
          <w:rFonts w:ascii="Times New Roman" w:hAnsi="Times New Roman" w:eastAsia="新細明體"/>
          <w:b w:val="0"/>
          <w:i w:val="0"/>
          <w:sz w:val="21"/>
        </w:rPr>
        <w:t>9. 十七世紀新教傳教士以拉丁字母拼寫西拉雅語創製文字，原住民學會後除了閱讀聖經，還用來簽訂土地買賣契約。這種『新港文書』最遠延續使用到何時？</w:t>
      </w:r>
    </w:p>
    <w:p>
      <w:pPr>
        <w:keepNext/>
        <w:spacing w:before="0" w:after="20" w:line="252" w:lineRule="auto"/>
        <w:ind w:left="227"/>
      </w:pPr>
      <w:r>
        <w:rPr>
          <w:rFonts w:ascii="Times New Roman" w:hAnsi="Times New Roman" w:eastAsia="新細明體"/>
          <w:b w:val="0"/>
          <w:i w:val="0"/>
          <w:sz w:val="20"/>
        </w:rPr>
        <w:t>(A) 1683年清朝施琅攻臺後便完全消失</w:t>
      </w:r>
    </w:p>
    <w:p>
      <w:pPr>
        <w:keepNext/>
        <w:spacing w:before="0" w:after="20" w:line="252" w:lineRule="auto"/>
        <w:ind w:left="227"/>
      </w:pPr>
      <w:r>
        <w:rPr>
          <w:rFonts w:ascii="Times New Roman" w:hAnsi="Times New Roman" w:eastAsia="新細明體"/>
          <w:b w:val="0"/>
          <w:i w:val="0"/>
          <w:sz w:val="20"/>
        </w:rPr>
        <w:t>(B) 日治時期推行國語運動後才停止使用</w:t>
      </w:r>
    </w:p>
    <w:p>
      <w:pPr>
        <w:keepNext/>
        <w:spacing w:before="0" w:after="20" w:line="252" w:lineRule="auto"/>
        <w:ind w:left="227"/>
      </w:pPr>
      <w:r>
        <w:rPr>
          <w:rFonts w:ascii="Times New Roman" w:hAnsi="Times New Roman" w:eastAsia="新細明體"/>
          <w:b w:val="0"/>
          <w:i w:val="0"/>
          <w:sz w:val="20"/>
        </w:rPr>
        <w:t>(C) 清代乾隆、嘉慶年間（18世紀末至19世紀初）</w:t>
      </w:r>
    </w:p>
    <w:p>
      <w:pPr>
        <w:keepNext w:val="0"/>
        <w:spacing w:before="0" w:after="40" w:line="252" w:lineRule="auto"/>
        <w:ind w:left="227"/>
      </w:pPr>
      <w:r>
        <w:rPr>
          <w:rFonts w:ascii="Times New Roman" w:hAnsi="Times New Roman" w:eastAsia="新細明體"/>
          <w:b w:val="0"/>
          <w:i w:val="0"/>
          <w:sz w:val="20"/>
        </w:rPr>
        <w:t>(D) 1662年荷蘭人撤離臺灣時即廢棄</w:t>
      </w:r>
    </w:p>
    <w:p>
      <w:pPr>
        <w:keepNext/>
        <w:spacing w:before="120" w:after="40" w:line="276" w:lineRule="auto"/>
      </w:pPr>
      <w:r>
        <w:rPr>
          <w:rFonts w:ascii="Times New Roman" w:hAnsi="Times New Roman" w:eastAsia="新細明體"/>
          <w:b w:val="0"/>
          <w:i w:val="0"/>
          <w:sz w:val="21"/>
        </w:rPr>
        <w:t>10. 1652年9月，漢人頭人郭懷一因不滿荷蘭東印度公司抽取重稅與嚴加管制，率數千漢人起事攻打赤崁。事件平息後，VOC為了加強監控漢人採取了何種措施？</w:t>
      </w:r>
    </w:p>
    <w:p>
      <w:pPr>
        <w:keepNext/>
        <w:spacing w:before="0" w:after="20" w:line="252" w:lineRule="auto"/>
        <w:ind w:left="227"/>
      </w:pPr>
      <w:r>
        <w:rPr>
          <w:rFonts w:ascii="Times New Roman" w:hAnsi="Times New Roman" w:eastAsia="新細明體"/>
          <w:b w:val="0"/>
          <w:i w:val="0"/>
          <w:sz w:val="20"/>
        </w:rPr>
        <w:t>(A) 廢除人頭稅並放寬漢人貿易限制</w:t>
      </w:r>
    </w:p>
    <w:p>
      <w:pPr>
        <w:keepNext/>
        <w:spacing w:before="0" w:after="20" w:line="252" w:lineRule="auto"/>
        <w:ind w:left="227"/>
      </w:pPr>
      <w:r>
        <w:rPr>
          <w:rFonts w:ascii="Times New Roman" w:hAnsi="Times New Roman" w:eastAsia="新細明體"/>
          <w:b w:val="0"/>
          <w:i w:val="0"/>
          <w:sz w:val="20"/>
        </w:rPr>
        <w:t>(B) 於1653年在赤崁興建普羅民遮城</w:t>
      </w:r>
    </w:p>
    <w:p>
      <w:pPr>
        <w:keepNext/>
        <w:spacing w:before="0" w:after="20" w:line="252" w:lineRule="auto"/>
        <w:ind w:left="227"/>
      </w:pPr>
      <w:r>
        <w:rPr>
          <w:rFonts w:ascii="Times New Roman" w:hAnsi="Times New Roman" w:eastAsia="新細明體"/>
          <w:b w:val="0"/>
          <w:i w:val="0"/>
          <w:sz w:val="20"/>
        </w:rPr>
        <w:t>(C) 撤離赤崁地區將行政中心遷至澎湖</w:t>
      </w:r>
    </w:p>
    <w:p>
      <w:pPr>
        <w:keepNext w:val="0"/>
        <w:spacing w:before="0" w:after="40" w:line="252" w:lineRule="auto"/>
        <w:ind w:left="227"/>
      </w:pPr>
      <w:r>
        <w:rPr>
          <w:rFonts w:ascii="Times New Roman" w:hAnsi="Times New Roman" w:eastAsia="新細明體"/>
          <w:b w:val="0"/>
          <w:i w:val="0"/>
          <w:sz w:val="20"/>
        </w:rPr>
        <w:t>(D) 招募更多原住民軍隊移居熱蘭遮城</w:t>
      </w:r>
    </w:p>
    <w:p>
      <w:pPr>
        <w:sectPr>
          <w:type w:val="continuous"/>
          <w:pgSz w:w="11906" w:h="16838"/>
          <w:pgMar w:top="1020" w:right="1020" w:bottom="1020" w:left="1020" w:header="720" w:footer="720" w:gutter="0"/>
          <w:cols w:space="425" w:num="2"/>
          <w:docGrid w:linePitch="360"/>
        </w:sectPr>
      </w:pPr>
    </w:p>
    <w:p>
      <w:pPr>
        <w:spacing w:before="0" w:after="240"/>
        <w:jc w:val="center"/>
      </w:pPr>
      <w:r>
        <w:rPr>
          <w:rFonts w:ascii="Times New Roman" w:hAnsi="Times New Roman" w:eastAsia="新細明體"/>
          <w:b/>
          <w:i w:val="0"/>
          <w:color w:val="003366"/>
          <w:sz w:val="30"/>
        </w:rPr>
        <w:t>【115 學年度第一學期 七年級 歷史 第一次段考 教師卷與試題解析】</w:t>
      </w:r>
    </w:p>
    <w:p>
      <w:pPr>
        <w:keepNext/>
        <w:spacing w:before="240" w:after="120"/>
      </w:pPr>
      <w:r>
        <w:rPr>
          <w:rFonts w:ascii="Times New Roman" w:hAnsi="Times New Roman" w:eastAsia="新細明體"/>
          <w:b/>
          <w:i w:val="0"/>
          <w:color w:val="003366"/>
          <w:sz w:val="26"/>
        </w:rPr>
        <w:t>壹、雙向細目表（測驗藍圖）</w:t>
      </w:r>
    </w:p>
    <w:tbl>
      <w:tblPr>
        <w:tblW w:type="auto" w:w="0"/>
        <w:tblLayout w:type="fixed"/>
        <w:tblLook w:firstColumn="1" w:firstRow="1" w:lastColumn="0" w:lastRow="0" w:noHBand="0" w:noVBand="1" w:val="04A0"/>
      </w:tblPr>
      <w:tblGrid>
        <w:gridCol w:w="2466"/>
        <w:gridCol w:w="2466"/>
        <w:gridCol w:w="2466"/>
        <w:gridCol w:w="2466"/>
      </w:tblGrid>
      <w:tr>
        <w:trPr>
          <w:tblHeader/>
          <w:cantSplit/>
        </w:trPr>
        <w:tc>
          <w:tcPr>
            <w:tcW w:type="dxa" w:w="850"/>
            <w:shd w:fill="1F4E78" w:val="clear"/>
            <w:tcMar>
              <w:top w:w="100" w:type="dxa"/>
              <w:bottom w:w="100" w:type="dxa"/>
              <w:left w:w="120" w:type="dxa"/>
              <w:right w:w="120" w:type="dxa"/>
            </w:tcMar>
          </w:tcPr>
          <w:p>
            <w:pPr>
              <w:spacing w:after="0"/>
              <w:jc w:val="center"/>
            </w:pPr>
            <w:r>
              <w:rPr>
                <w:rFonts w:ascii="Times New Roman" w:hAnsi="Times New Roman" w:eastAsia="新細明體"/>
                <w:b/>
                <w:i w:val="0"/>
                <w:color w:val="FFFFFF"/>
                <w:sz w:val="20"/>
              </w:rPr>
              <w:t>題號</w:t>
            </w:r>
          </w:p>
        </w:tc>
        <w:tc>
          <w:tcPr>
            <w:tcW w:type="dxa" w:w="3685"/>
            <w:shd w:fill="1F4E78" w:val="clear"/>
            <w:tcMar>
              <w:top w:w="100" w:type="dxa"/>
              <w:bottom w:w="100" w:type="dxa"/>
              <w:left w:w="120" w:type="dxa"/>
              <w:right w:w="120" w:type="dxa"/>
            </w:tcMar>
          </w:tcPr>
          <w:p>
            <w:pPr>
              <w:spacing w:after="0"/>
              <w:jc w:val="center"/>
            </w:pPr>
            <w:r>
              <w:rPr>
                <w:rFonts w:ascii="Times New Roman" w:hAnsi="Times New Roman" w:eastAsia="新細明體"/>
                <w:b/>
                <w:i w:val="0"/>
                <w:color w:val="FFFFFF"/>
                <w:sz w:val="20"/>
              </w:rPr>
              <w:t>測驗主題 / 核心素養重點</w:t>
            </w:r>
          </w:p>
        </w:tc>
        <w:tc>
          <w:tcPr>
            <w:tcW w:type="dxa" w:w="2154"/>
            <w:shd w:fill="1F4E78" w:val="clear"/>
            <w:tcMar>
              <w:top w:w="100" w:type="dxa"/>
              <w:bottom w:w="100" w:type="dxa"/>
              <w:left w:w="120" w:type="dxa"/>
              <w:right w:w="120" w:type="dxa"/>
            </w:tcMar>
          </w:tcPr>
          <w:p>
            <w:pPr>
              <w:spacing w:after="0"/>
              <w:jc w:val="center"/>
            </w:pPr>
            <w:r>
              <w:rPr>
                <w:rFonts w:ascii="Times New Roman" w:hAnsi="Times New Roman" w:eastAsia="新細明體"/>
                <w:b/>
                <w:i w:val="0"/>
                <w:color w:val="FFFFFF"/>
                <w:sz w:val="20"/>
              </w:rPr>
              <w:t>認知歷程與難易度</w:t>
            </w:r>
          </w:p>
        </w:tc>
        <w:tc>
          <w:tcPr>
            <w:tcW w:type="dxa" w:w="3175"/>
            <w:shd w:fill="1F4E78" w:val="clear"/>
            <w:tcMar>
              <w:top w:w="100" w:type="dxa"/>
              <w:bottom w:w="100" w:type="dxa"/>
              <w:left w:w="120" w:type="dxa"/>
              <w:right w:w="120" w:type="dxa"/>
            </w:tcMar>
          </w:tcPr>
          <w:p>
            <w:pPr>
              <w:spacing w:after="0"/>
              <w:jc w:val="center"/>
            </w:pPr>
            <w:r>
              <w:rPr>
                <w:rFonts w:ascii="Times New Roman" w:hAnsi="Times New Roman" w:eastAsia="新細明體"/>
                <w:b/>
                <w:i w:val="0"/>
                <w:color w:val="FFFFFF"/>
                <w:sz w:val="20"/>
              </w:rPr>
              <w:t>對應教學內容與來源章節</w:t>
            </w:r>
          </w:p>
        </w:tc>
      </w:tr>
      <w:tr>
        <w:trPr>
          <w:cantSplit/>
        </w:trPr>
        <w:tc>
          <w:tcPr>
            <w:tcW w:type="dxa" w:w="850"/>
            <w:tcMar>
              <w:top w:w="80" w:type="dxa"/>
              <w:bottom w:w="80" w:type="dxa"/>
              <w:left w:w="100" w:type="dxa"/>
              <w:right w:w="100" w:type="dxa"/>
            </w:tcMar>
          </w:tcPr>
          <w:p>
            <w:pPr>
              <w:spacing w:after="0"/>
              <w:jc w:val="center"/>
            </w:pPr>
            <w:r>
              <w:rPr>
                <w:rFonts w:ascii="Times New Roman" w:hAnsi="Times New Roman" w:eastAsia="新細明體"/>
                <w:b w:val="0"/>
                <w:i w:val="0"/>
                <w:sz w:val="19"/>
              </w:rPr>
              <w:t>1</w:t>
            </w:r>
          </w:p>
        </w:tc>
        <w:tc>
          <w:tcPr>
            <w:tcW w:type="dxa" w:w="3685"/>
            <w:tcMar>
              <w:top w:w="80" w:type="dxa"/>
              <w:bottom w:w="80" w:type="dxa"/>
              <w:left w:w="100" w:type="dxa"/>
              <w:right w:w="100" w:type="dxa"/>
            </w:tcMar>
          </w:tcPr>
          <w:p>
            <w:pPr>
              <w:spacing w:after="0"/>
              <w:jc w:val="left"/>
            </w:pPr>
            <w:r>
              <w:rPr>
                <w:rFonts w:ascii="Times New Roman" w:hAnsi="Times New Roman" w:eastAsia="新細明體"/>
                <w:b w:val="0"/>
                <w:i w:val="0"/>
                <w:sz w:val="19"/>
              </w:rPr>
              <w:t>荷蘭據臺背景與澎湖轉往大員據點</w:t>
            </w:r>
          </w:p>
        </w:tc>
        <w:tc>
          <w:tcPr>
            <w:tcW w:type="dxa" w:w="2154"/>
            <w:tcMar>
              <w:top w:w="80" w:type="dxa"/>
              <w:bottom w:w="80" w:type="dxa"/>
              <w:left w:w="100" w:type="dxa"/>
              <w:right w:w="100" w:type="dxa"/>
            </w:tcMar>
          </w:tcPr>
          <w:p>
            <w:pPr>
              <w:spacing w:after="0"/>
              <w:jc w:val="center"/>
            </w:pPr>
            <w:r>
              <w:rPr>
                <w:rFonts w:ascii="Times New Roman" w:hAnsi="Times New Roman" w:eastAsia="新細明體"/>
                <w:b w:val="0"/>
                <w:i w:val="0"/>
                <w:sz w:val="19"/>
              </w:rPr>
              <w:t>記憶 / 易</w:t>
            </w:r>
          </w:p>
        </w:tc>
        <w:tc>
          <w:tcPr>
            <w:tcW w:type="dxa" w:w="3175"/>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《source-voc-report.md》壹、大航海時代與據臺背景</w:t>
            </w:r>
          </w:p>
        </w:tc>
      </w:tr>
      <w:tr>
        <w:trPr>
          <w:cantSplit/>
        </w:trPr>
        <w:tc>
          <w:tcPr>
            <w:tcW w:type="dxa" w:w="850"/>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2</w:t>
            </w:r>
          </w:p>
        </w:tc>
        <w:tc>
          <w:tcPr>
            <w:tcW w:type="dxa" w:w="368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雙城格局（熱蘭遮城與普羅民遮城）建城脈絡</w:t>
            </w:r>
          </w:p>
        </w:tc>
        <w:tc>
          <w:tcPr>
            <w:tcW w:type="dxa" w:w="2154"/>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理解 / 中</w:t>
            </w:r>
          </w:p>
        </w:tc>
        <w:tc>
          <w:tcPr>
            <w:tcW w:type="dxa" w:w="317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《source-voc-report.md》貳、一、雙城格局之空間規劃</w:t>
            </w:r>
          </w:p>
        </w:tc>
      </w:tr>
      <w:tr>
        <w:trPr>
          <w:cantSplit/>
        </w:trPr>
        <w:tc>
          <w:tcPr>
            <w:tcW w:type="dxa" w:w="850"/>
            <w:tcMar>
              <w:top w:w="80" w:type="dxa"/>
              <w:bottom w:w="80" w:type="dxa"/>
              <w:left w:w="100" w:type="dxa"/>
              <w:right w:w="100" w:type="dxa"/>
            </w:tcMar>
          </w:tcPr>
          <w:p>
            <w:pPr>
              <w:spacing w:after="0"/>
              <w:jc w:val="center"/>
            </w:pPr>
            <w:r>
              <w:rPr>
                <w:rFonts w:ascii="Times New Roman" w:hAnsi="Times New Roman" w:eastAsia="新細明體"/>
                <w:b w:val="0"/>
                <w:i w:val="0"/>
                <w:sz w:val="19"/>
              </w:rPr>
              <w:t>3</w:t>
            </w:r>
          </w:p>
        </w:tc>
        <w:tc>
          <w:tcPr>
            <w:tcW w:type="dxa" w:w="3685"/>
            <w:tcMar>
              <w:top w:w="80" w:type="dxa"/>
              <w:bottom w:w="80" w:type="dxa"/>
              <w:left w:w="100" w:type="dxa"/>
              <w:right w:w="100" w:type="dxa"/>
            </w:tcMar>
          </w:tcPr>
          <w:p>
            <w:pPr>
              <w:spacing w:after="0"/>
              <w:jc w:val="left"/>
            </w:pPr>
            <w:r>
              <w:rPr>
                <w:rFonts w:ascii="Times New Roman" w:hAnsi="Times New Roman" w:eastAsia="新細明體"/>
                <w:b w:val="0"/>
                <w:i w:val="0"/>
                <w:sz w:val="19"/>
              </w:rPr>
              <w:t>大員轉口貿易「生絲換白銀」商品流向</w:t>
            </w:r>
          </w:p>
        </w:tc>
        <w:tc>
          <w:tcPr>
            <w:tcW w:type="dxa" w:w="2154"/>
            <w:tcMar>
              <w:top w:w="80" w:type="dxa"/>
              <w:bottom w:w="80" w:type="dxa"/>
              <w:left w:w="100" w:type="dxa"/>
              <w:right w:w="100" w:type="dxa"/>
            </w:tcMar>
          </w:tcPr>
          <w:p>
            <w:pPr>
              <w:spacing w:after="0"/>
              <w:jc w:val="center"/>
            </w:pPr>
            <w:r>
              <w:rPr>
                <w:rFonts w:ascii="Times New Roman" w:hAnsi="Times New Roman" w:eastAsia="新細明體"/>
                <w:b w:val="0"/>
                <w:i w:val="0"/>
                <w:sz w:val="19"/>
              </w:rPr>
              <w:t>圖表分析 / 中</w:t>
            </w:r>
          </w:p>
        </w:tc>
        <w:tc>
          <w:tcPr>
            <w:tcW w:type="dxa" w:w="3175"/>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《source-voc-report.md》參、一、生絲換白銀三角網絡</w:t>
            </w:r>
          </w:p>
        </w:tc>
      </w:tr>
      <w:tr>
        <w:trPr>
          <w:cantSplit/>
        </w:trPr>
        <w:tc>
          <w:tcPr>
            <w:tcW w:type="dxa" w:w="850"/>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4</w:t>
            </w:r>
          </w:p>
        </w:tc>
        <w:tc>
          <w:tcPr>
            <w:tcW w:type="dxa" w:w="368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大員港道水文淤淺與航運平底船疏運調配</w:t>
            </w:r>
          </w:p>
        </w:tc>
        <w:tc>
          <w:tcPr>
            <w:tcW w:type="dxa" w:w="2154"/>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應用 / 難</w:t>
            </w:r>
          </w:p>
        </w:tc>
        <w:tc>
          <w:tcPr>
            <w:tcW w:type="dxa" w:w="317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《source-voc-report.md》貳、二、港道淤積與航運調配</w:t>
            </w:r>
          </w:p>
        </w:tc>
      </w:tr>
      <w:tr>
        <w:trPr>
          <w:cantSplit/>
        </w:trPr>
        <w:tc>
          <w:tcPr>
            <w:tcW w:type="dxa" w:w="850"/>
            <w:tcMar>
              <w:top w:w="80" w:type="dxa"/>
              <w:bottom w:w="80" w:type="dxa"/>
              <w:left w:w="100" w:type="dxa"/>
              <w:right w:w="100" w:type="dxa"/>
            </w:tcMar>
          </w:tcPr>
          <w:p>
            <w:pPr>
              <w:spacing w:after="0"/>
              <w:jc w:val="center"/>
            </w:pPr>
            <w:r>
              <w:rPr>
                <w:rFonts w:ascii="Times New Roman" w:hAnsi="Times New Roman" w:eastAsia="新細明體"/>
                <w:b w:val="0"/>
                <w:i w:val="0"/>
                <w:sz w:val="19"/>
              </w:rPr>
              <w:t>5</w:t>
            </w:r>
          </w:p>
        </w:tc>
        <w:tc>
          <w:tcPr>
            <w:tcW w:type="dxa" w:w="3685"/>
            <w:tcMar>
              <w:top w:w="80" w:type="dxa"/>
              <w:bottom w:w="80" w:type="dxa"/>
              <w:left w:w="100" w:type="dxa"/>
              <w:right w:w="100" w:type="dxa"/>
            </w:tcMar>
          </w:tcPr>
          <w:p>
            <w:pPr>
              <w:spacing w:after="0"/>
              <w:jc w:val="left"/>
            </w:pPr>
            <w:r>
              <w:rPr>
                <w:rFonts w:ascii="Times New Roman" w:hAnsi="Times New Roman" w:eastAsia="新細明體"/>
                <w:b w:val="0"/>
                <w:i w:val="0"/>
                <w:sz w:val="19"/>
              </w:rPr>
              <w:t>明清交替之際生絲供應斷絕與孟加拉新航線</w:t>
            </w:r>
          </w:p>
        </w:tc>
        <w:tc>
          <w:tcPr>
            <w:tcW w:type="dxa" w:w="2154"/>
            <w:tcMar>
              <w:top w:w="80" w:type="dxa"/>
              <w:bottom w:w="80" w:type="dxa"/>
              <w:left w:w="100" w:type="dxa"/>
              <w:right w:w="100" w:type="dxa"/>
            </w:tcMar>
          </w:tcPr>
          <w:p>
            <w:pPr>
              <w:spacing w:after="0"/>
              <w:jc w:val="center"/>
            </w:pPr>
            <w:r>
              <w:rPr>
                <w:rFonts w:ascii="Times New Roman" w:hAnsi="Times New Roman" w:eastAsia="新細明體"/>
                <w:b w:val="0"/>
                <w:i w:val="0"/>
                <w:sz w:val="19"/>
              </w:rPr>
              <w:t>分析 / 難</w:t>
            </w:r>
          </w:p>
        </w:tc>
        <w:tc>
          <w:tcPr>
            <w:tcW w:type="dxa" w:w="3175"/>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《source-voc-report.md》參、一、生絲換白銀三角網絡</w:t>
            </w:r>
          </w:p>
        </w:tc>
      </w:tr>
      <w:tr>
        <w:trPr>
          <w:cantSplit/>
        </w:trPr>
        <w:tc>
          <w:tcPr>
            <w:tcW w:type="dxa" w:w="850"/>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6</w:t>
            </w:r>
          </w:p>
        </w:tc>
        <w:tc>
          <w:tcPr>
            <w:tcW w:type="dxa" w:w="368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王田制度下土地所有權屬與漢人耕作繳稅義務</w:t>
            </w:r>
          </w:p>
        </w:tc>
        <w:tc>
          <w:tcPr>
            <w:tcW w:type="dxa" w:w="2154"/>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理解 / 中</w:t>
            </w:r>
          </w:p>
        </w:tc>
        <w:tc>
          <w:tcPr>
            <w:tcW w:type="dxa" w:w="317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《source-voc-report.md》肆、三、2. 王田制度</w:t>
            </w:r>
          </w:p>
        </w:tc>
      </w:tr>
      <w:tr>
        <w:trPr>
          <w:cantSplit/>
        </w:trPr>
        <w:tc>
          <w:tcPr>
            <w:tcW w:type="dxa" w:w="850"/>
            <w:tcMar>
              <w:top w:w="80" w:type="dxa"/>
              <w:bottom w:w="80" w:type="dxa"/>
              <w:left w:w="100" w:type="dxa"/>
              <w:right w:w="100" w:type="dxa"/>
            </w:tcMar>
          </w:tcPr>
          <w:p>
            <w:pPr>
              <w:spacing w:after="0"/>
              <w:jc w:val="center"/>
            </w:pPr>
            <w:r>
              <w:rPr>
                <w:rFonts w:ascii="Times New Roman" w:hAnsi="Times New Roman" w:eastAsia="新細明體"/>
                <w:b w:val="0"/>
                <w:i w:val="0"/>
                <w:sz w:val="19"/>
              </w:rPr>
              <w:t>7</w:t>
            </w:r>
          </w:p>
        </w:tc>
        <w:tc>
          <w:tcPr>
            <w:tcW w:type="dxa" w:w="3685"/>
            <w:tcMar>
              <w:top w:w="80" w:type="dxa"/>
              <w:bottom w:w="80" w:type="dxa"/>
              <w:left w:w="100" w:type="dxa"/>
              <w:right w:w="100" w:type="dxa"/>
            </w:tcMar>
          </w:tcPr>
          <w:p>
            <w:pPr>
              <w:spacing w:after="0"/>
              <w:jc w:val="left"/>
            </w:pPr>
            <w:r>
              <w:rPr>
                <w:rFonts w:ascii="Times New Roman" w:hAnsi="Times New Roman" w:eastAsia="新細明體"/>
                <w:b w:val="0"/>
                <w:i w:val="0"/>
                <w:sz w:val="19"/>
              </w:rPr>
              <w:t>荷治時期四大核心殖民制度比較評析</w:t>
            </w:r>
          </w:p>
        </w:tc>
        <w:tc>
          <w:tcPr>
            <w:tcW w:type="dxa" w:w="2154"/>
            <w:tcMar>
              <w:top w:w="80" w:type="dxa"/>
              <w:bottom w:w="80" w:type="dxa"/>
              <w:left w:w="100" w:type="dxa"/>
              <w:right w:w="100" w:type="dxa"/>
            </w:tcMar>
          </w:tcPr>
          <w:p>
            <w:pPr>
              <w:spacing w:after="0"/>
              <w:jc w:val="center"/>
            </w:pPr>
            <w:r>
              <w:rPr>
                <w:rFonts w:ascii="Times New Roman" w:hAnsi="Times New Roman" w:eastAsia="新細明體"/>
                <w:b w:val="0"/>
                <w:i w:val="0"/>
                <w:sz w:val="19"/>
              </w:rPr>
              <w:t>表格評析 / 難</w:t>
            </w:r>
          </w:p>
        </w:tc>
        <w:tc>
          <w:tcPr>
            <w:tcW w:type="dxa" w:w="3175"/>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《source-voc-report.md》陸、一、四大殖民制度比較表</w:t>
            </w:r>
          </w:p>
        </w:tc>
      </w:tr>
      <w:tr>
        <w:trPr>
          <w:cantSplit/>
        </w:trPr>
        <w:tc>
          <w:tcPr>
            <w:tcW w:type="dxa" w:w="850"/>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8</w:t>
            </w:r>
          </w:p>
        </w:tc>
        <w:tc>
          <w:tcPr>
            <w:tcW w:type="dxa" w:w="368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《麻豆條約》簽訂與原住民讓渡司法/土地財產權</w:t>
            </w:r>
          </w:p>
        </w:tc>
        <w:tc>
          <w:tcPr>
            <w:tcW w:type="dxa" w:w="2154"/>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理解 / 中</w:t>
            </w:r>
          </w:p>
        </w:tc>
        <w:tc>
          <w:tcPr>
            <w:tcW w:type="dxa" w:w="317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《source-voc-report.md》肆、一、軍事征服與權力轉移</w:t>
            </w:r>
          </w:p>
        </w:tc>
      </w:tr>
      <w:tr>
        <w:trPr>
          <w:cantSplit/>
        </w:trPr>
        <w:tc>
          <w:tcPr>
            <w:tcW w:type="dxa" w:w="850"/>
            <w:tcMar>
              <w:top w:w="80" w:type="dxa"/>
              <w:bottom w:w="80" w:type="dxa"/>
              <w:left w:w="100" w:type="dxa"/>
              <w:right w:w="100" w:type="dxa"/>
            </w:tcMar>
          </w:tcPr>
          <w:p>
            <w:pPr>
              <w:spacing w:after="0"/>
              <w:jc w:val="center"/>
            </w:pPr>
            <w:r>
              <w:rPr>
                <w:rFonts w:ascii="Times New Roman" w:hAnsi="Times New Roman" w:eastAsia="新細明體"/>
                <w:b w:val="0"/>
                <w:i w:val="0"/>
                <w:sz w:val="19"/>
              </w:rPr>
              <w:t>9</w:t>
            </w:r>
          </w:p>
        </w:tc>
        <w:tc>
          <w:tcPr>
            <w:tcW w:type="dxa" w:w="3685"/>
            <w:tcMar>
              <w:top w:w="80" w:type="dxa"/>
              <w:bottom w:w="80" w:type="dxa"/>
              <w:left w:w="100" w:type="dxa"/>
              <w:right w:w="100" w:type="dxa"/>
            </w:tcMar>
          </w:tcPr>
          <w:p>
            <w:pPr>
              <w:spacing w:after="0"/>
              <w:jc w:val="left"/>
            </w:pPr>
            <w:r>
              <w:rPr>
                <w:rFonts w:ascii="Times New Roman" w:hAnsi="Times New Roman" w:eastAsia="新細明體"/>
                <w:b w:val="0"/>
                <w:i w:val="0"/>
                <w:sz w:val="19"/>
              </w:rPr>
              <w:t>新港文書創製與原住民土地契約延續時間</w:t>
            </w:r>
          </w:p>
        </w:tc>
        <w:tc>
          <w:tcPr>
            <w:tcW w:type="dxa" w:w="2154"/>
            <w:tcMar>
              <w:top w:w="80" w:type="dxa"/>
              <w:bottom w:w="80" w:type="dxa"/>
              <w:left w:w="100" w:type="dxa"/>
              <w:right w:w="100" w:type="dxa"/>
            </w:tcMar>
          </w:tcPr>
          <w:p>
            <w:pPr>
              <w:spacing w:after="0"/>
              <w:jc w:val="center"/>
            </w:pPr>
            <w:r>
              <w:rPr>
                <w:rFonts w:ascii="Times New Roman" w:hAnsi="Times New Roman" w:eastAsia="新細明體"/>
                <w:b w:val="0"/>
                <w:i w:val="0"/>
                <w:sz w:val="19"/>
              </w:rPr>
              <w:t>記憶 / 易</w:t>
            </w:r>
          </w:p>
        </w:tc>
        <w:tc>
          <w:tcPr>
            <w:tcW w:type="dxa" w:w="3175"/>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《source-voc-report.md》伍、一、新港文書與宣教文化</w:t>
            </w:r>
          </w:p>
        </w:tc>
      </w:tr>
      <w:tr>
        <w:trPr>
          <w:cantSplit/>
        </w:trPr>
        <w:tc>
          <w:tcPr>
            <w:tcW w:type="dxa" w:w="850"/>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10</w:t>
            </w:r>
          </w:p>
        </w:tc>
        <w:tc>
          <w:tcPr>
            <w:tcW w:type="dxa" w:w="368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郭懷一事件起因與VOC興建普羅民遮城監控</w:t>
            </w:r>
          </w:p>
        </w:tc>
        <w:tc>
          <w:tcPr>
            <w:tcW w:type="dxa" w:w="2154"/>
            <w:shd w:fill="F9FBFD" w:val="clear"/>
            <w:tcMar>
              <w:top w:w="80" w:type="dxa"/>
              <w:bottom w:w="80" w:type="dxa"/>
              <w:left w:w="100" w:type="dxa"/>
              <w:right w:w="100" w:type="dxa"/>
            </w:tcMar>
          </w:tcPr>
          <w:p>
            <w:pPr>
              <w:spacing w:after="0"/>
              <w:jc w:val="center"/>
            </w:pPr>
            <w:r>
              <w:rPr>
                <w:rFonts w:ascii="Times New Roman" w:hAnsi="Times New Roman" w:eastAsia="新細明體"/>
                <w:b w:val="0"/>
                <w:i w:val="0"/>
                <w:sz w:val="19"/>
              </w:rPr>
              <w:t>理解 / 中</w:t>
            </w:r>
          </w:p>
        </w:tc>
        <w:tc>
          <w:tcPr>
            <w:tcW w:type="dxa" w:w="3175"/>
            <w:shd w:fill="F9FBFD" w:val="clear"/>
            <w:tcMar>
              <w:top w:w="80" w:type="dxa"/>
              <w:bottom w:w="80" w:type="dxa"/>
              <w:left w:w="100" w:type="dxa"/>
              <w:right w:w="100" w:type="dxa"/>
            </w:tcMar>
          </w:tcPr>
          <w:p>
            <w:pPr>
              <w:spacing w:after="0"/>
              <w:jc w:val="left"/>
            </w:pPr>
            <w:r>
              <w:rPr>
                <w:rFonts w:ascii="Times New Roman" w:hAnsi="Times New Roman" w:eastAsia="新細明體"/>
                <w:b w:val="0"/>
                <w:i w:val="0"/>
                <w:sz w:val="19"/>
              </w:rPr>
              <w:t>《source-voc-report.md》伍、二、族群矛盾與郭懷一事件</w:t>
            </w:r>
          </w:p>
        </w:tc>
      </w:tr>
    </w:tbl>
    <w:p>
      <w:pPr>
        <w:keepNext/>
        <w:spacing w:before="320" w:after="120"/>
      </w:pPr>
      <w:r>
        <w:rPr>
          <w:rFonts w:ascii="Times New Roman" w:hAnsi="Times New Roman" w:eastAsia="新細明體"/>
          <w:b/>
          <w:i w:val="0"/>
          <w:color w:val="003366"/>
          <w:sz w:val="26"/>
        </w:rPr>
        <w:t>貳、標準答案表與選項佈局分析</w:t>
      </w:r>
    </w:p>
    <w:tbl>
      <w:tblPr>
        <w:tblW w:type="auto" w:w="0"/>
        <w:tblLayout w:type="fixed"/>
        <w:tblLook w:firstColumn="1" w:firstRow="1" w:lastColumn="0" w:lastRow="0" w:noHBand="0" w:noVBand="1" w:val="04A0"/>
      </w:tblPr>
      <w:tblGrid>
        <w:gridCol w:w="897"/>
        <w:gridCol w:w="897"/>
        <w:gridCol w:w="897"/>
        <w:gridCol w:w="897"/>
        <w:gridCol w:w="897"/>
        <w:gridCol w:w="897"/>
        <w:gridCol w:w="897"/>
        <w:gridCol w:w="897"/>
        <w:gridCol w:w="897"/>
        <w:gridCol w:w="897"/>
        <w:gridCol w:w="897"/>
      </w:tblGrid>
      <w:tr>
        <w:trPr>
          <w:cantSplit/>
        </w:trPr>
        <w:tc>
          <w:tcPr>
            <w:tcW w:type="dxa" w:w="1134"/>
            <w:shd w:fill="2F5496" w:val="clear"/>
          </w:tcPr>
          <w:p>
            <w:pPr>
              <w:jc w:val="center"/>
            </w:pPr>
            <w:r>
              <w:rPr>
                <w:rFonts w:ascii="Times New Roman" w:hAnsi="Times New Roman" w:eastAsia="新細明體"/>
                <w:b/>
                <w:i w:val="0"/>
                <w:color w:val="FFFFFF"/>
                <w:sz w:val="20"/>
              </w:rPr>
              <w:t>題號</w:t>
            </w:r>
          </w:p>
        </w:tc>
        <w:tc>
          <w:tcPr>
            <w:tcW w:type="dxa" w:w="873"/>
            <w:shd w:fill="2F5496" w:val="clear"/>
          </w:tcPr>
          <w:p>
            <w:pPr>
              <w:jc w:val="center"/>
            </w:pPr>
            <w:r>
              <w:rPr>
                <w:rFonts w:ascii="Times New Roman" w:hAnsi="Times New Roman" w:eastAsia="新細明體"/>
                <w:b/>
                <w:i w:val="0"/>
                <w:color w:val="FFFFFF"/>
                <w:sz w:val="20"/>
              </w:rPr>
              <w:t>1</w:t>
            </w:r>
          </w:p>
        </w:tc>
        <w:tc>
          <w:tcPr>
            <w:tcW w:type="dxa" w:w="873"/>
            <w:shd w:fill="2F5496" w:val="clear"/>
          </w:tcPr>
          <w:p>
            <w:pPr>
              <w:jc w:val="center"/>
            </w:pPr>
            <w:r>
              <w:rPr>
                <w:rFonts w:ascii="Times New Roman" w:hAnsi="Times New Roman" w:eastAsia="新細明體"/>
                <w:b/>
                <w:i w:val="0"/>
                <w:color w:val="FFFFFF"/>
                <w:sz w:val="20"/>
              </w:rPr>
              <w:t>2</w:t>
            </w:r>
          </w:p>
        </w:tc>
        <w:tc>
          <w:tcPr>
            <w:tcW w:type="dxa" w:w="873"/>
            <w:shd w:fill="2F5496" w:val="clear"/>
          </w:tcPr>
          <w:p>
            <w:pPr>
              <w:jc w:val="center"/>
            </w:pPr>
            <w:r>
              <w:rPr>
                <w:rFonts w:ascii="Times New Roman" w:hAnsi="Times New Roman" w:eastAsia="新細明體"/>
                <w:b/>
                <w:i w:val="0"/>
                <w:color w:val="FFFFFF"/>
                <w:sz w:val="20"/>
              </w:rPr>
              <w:t>3</w:t>
            </w:r>
          </w:p>
        </w:tc>
        <w:tc>
          <w:tcPr>
            <w:tcW w:type="dxa" w:w="873"/>
            <w:shd w:fill="2F5496" w:val="clear"/>
          </w:tcPr>
          <w:p>
            <w:pPr>
              <w:jc w:val="center"/>
            </w:pPr>
            <w:r>
              <w:rPr>
                <w:rFonts w:ascii="Times New Roman" w:hAnsi="Times New Roman" w:eastAsia="新細明體"/>
                <w:b/>
                <w:i w:val="0"/>
                <w:color w:val="FFFFFF"/>
                <w:sz w:val="20"/>
              </w:rPr>
              <w:t>4</w:t>
            </w:r>
          </w:p>
        </w:tc>
        <w:tc>
          <w:tcPr>
            <w:tcW w:type="dxa" w:w="873"/>
            <w:shd w:fill="2F5496" w:val="clear"/>
          </w:tcPr>
          <w:p>
            <w:pPr>
              <w:jc w:val="center"/>
            </w:pPr>
            <w:r>
              <w:rPr>
                <w:rFonts w:ascii="Times New Roman" w:hAnsi="Times New Roman" w:eastAsia="新細明體"/>
                <w:b/>
                <w:i w:val="0"/>
                <w:color w:val="FFFFFF"/>
                <w:sz w:val="20"/>
              </w:rPr>
              <w:t>5</w:t>
            </w:r>
          </w:p>
        </w:tc>
        <w:tc>
          <w:tcPr>
            <w:tcW w:type="dxa" w:w="873"/>
            <w:shd w:fill="2F5496" w:val="clear"/>
          </w:tcPr>
          <w:p>
            <w:pPr>
              <w:jc w:val="center"/>
            </w:pPr>
            <w:r>
              <w:rPr>
                <w:rFonts w:ascii="Times New Roman" w:hAnsi="Times New Roman" w:eastAsia="新細明體"/>
                <w:b/>
                <w:i w:val="0"/>
                <w:color w:val="FFFFFF"/>
                <w:sz w:val="20"/>
              </w:rPr>
              <w:t>6</w:t>
            </w:r>
          </w:p>
        </w:tc>
        <w:tc>
          <w:tcPr>
            <w:tcW w:type="dxa" w:w="873"/>
            <w:shd w:fill="2F5496" w:val="clear"/>
          </w:tcPr>
          <w:p>
            <w:pPr>
              <w:jc w:val="center"/>
            </w:pPr>
            <w:r>
              <w:rPr>
                <w:rFonts w:ascii="Times New Roman" w:hAnsi="Times New Roman" w:eastAsia="新細明體"/>
                <w:b/>
                <w:i w:val="0"/>
                <w:color w:val="FFFFFF"/>
                <w:sz w:val="20"/>
              </w:rPr>
              <w:t>7</w:t>
            </w:r>
          </w:p>
        </w:tc>
        <w:tc>
          <w:tcPr>
            <w:tcW w:type="dxa" w:w="873"/>
            <w:shd w:fill="2F5496" w:val="clear"/>
          </w:tcPr>
          <w:p>
            <w:pPr>
              <w:jc w:val="center"/>
            </w:pPr>
            <w:r>
              <w:rPr>
                <w:rFonts w:ascii="Times New Roman" w:hAnsi="Times New Roman" w:eastAsia="新細明體"/>
                <w:b/>
                <w:i w:val="0"/>
                <w:color w:val="FFFFFF"/>
                <w:sz w:val="20"/>
              </w:rPr>
              <w:t>8</w:t>
            </w:r>
          </w:p>
        </w:tc>
        <w:tc>
          <w:tcPr>
            <w:tcW w:type="dxa" w:w="873"/>
            <w:shd w:fill="2F5496" w:val="clear"/>
          </w:tcPr>
          <w:p>
            <w:pPr>
              <w:jc w:val="center"/>
            </w:pPr>
            <w:r>
              <w:rPr>
                <w:rFonts w:ascii="Times New Roman" w:hAnsi="Times New Roman" w:eastAsia="新細明體"/>
                <w:b/>
                <w:i w:val="0"/>
                <w:color w:val="FFFFFF"/>
                <w:sz w:val="20"/>
              </w:rPr>
              <w:t>9</w:t>
            </w:r>
          </w:p>
        </w:tc>
        <w:tc>
          <w:tcPr>
            <w:tcW w:type="dxa" w:w="873"/>
            <w:shd w:fill="2F5496" w:val="clear"/>
          </w:tcPr>
          <w:p>
            <w:pPr>
              <w:jc w:val="center"/>
            </w:pPr>
            <w:r>
              <w:rPr>
                <w:rFonts w:ascii="Times New Roman" w:hAnsi="Times New Roman" w:eastAsia="新細明體"/>
                <w:b/>
                <w:i w:val="0"/>
                <w:color w:val="FFFFFF"/>
                <w:sz w:val="20"/>
              </w:rPr>
              <w:t>10</w:t>
            </w:r>
          </w:p>
        </w:tc>
      </w:tr>
      <w:tr>
        <w:trPr>
          <w:cantSplit/>
        </w:trPr>
        <w:tc>
          <w:tcPr>
            <w:tcW w:type="dxa" w:w="1134"/>
            <w:shd w:fill="D9E1F2" w:val="clear"/>
          </w:tcPr>
          <w:p>
            <w:pPr>
              <w:jc w:val="center"/>
            </w:pPr>
            <w:r>
              <w:rPr>
                <w:rFonts w:ascii="Times New Roman" w:hAnsi="Times New Roman" w:eastAsia="新細明體"/>
                <w:b/>
                <w:i w:val="0"/>
                <w:sz w:val="20"/>
              </w:rPr>
              <w:t>答案</w:t>
            </w:r>
          </w:p>
        </w:tc>
        <w:tc>
          <w:tcPr>
            <w:tcW w:type="dxa" w:w="873"/>
          </w:tcPr>
          <w:p>
            <w:pPr>
              <w:jc w:val="center"/>
            </w:pPr>
            <w:r>
              <w:rPr>
                <w:rFonts w:ascii="Times New Roman" w:hAnsi="Times New Roman" w:eastAsia="新細明體"/>
                <w:b/>
                <w:i w:val="0"/>
                <w:color w:val="C00000"/>
                <w:sz w:val="21"/>
              </w:rPr>
              <w:t>(D)</w:t>
            </w:r>
          </w:p>
        </w:tc>
        <w:tc>
          <w:tcPr>
            <w:tcW w:type="dxa" w:w="873"/>
          </w:tcPr>
          <w:p>
            <w:pPr>
              <w:jc w:val="center"/>
            </w:pPr>
            <w:r>
              <w:rPr>
                <w:rFonts w:ascii="Times New Roman" w:hAnsi="Times New Roman" w:eastAsia="新細明體"/>
                <w:b/>
                <w:i w:val="0"/>
                <w:color w:val="C00000"/>
                <w:sz w:val="21"/>
              </w:rPr>
              <w:t>(C)</w:t>
            </w:r>
          </w:p>
        </w:tc>
        <w:tc>
          <w:tcPr>
            <w:tcW w:type="dxa" w:w="873"/>
          </w:tcPr>
          <w:p>
            <w:pPr>
              <w:jc w:val="center"/>
            </w:pPr>
            <w:r>
              <w:rPr>
                <w:rFonts w:ascii="Times New Roman" w:hAnsi="Times New Roman" w:eastAsia="新細明體"/>
                <w:b/>
                <w:i w:val="0"/>
                <w:color w:val="C00000"/>
                <w:sz w:val="21"/>
              </w:rPr>
              <w:t>(A)</w:t>
            </w:r>
          </w:p>
        </w:tc>
        <w:tc>
          <w:tcPr>
            <w:tcW w:type="dxa" w:w="873"/>
          </w:tcPr>
          <w:p>
            <w:pPr>
              <w:jc w:val="center"/>
            </w:pPr>
            <w:r>
              <w:rPr>
                <w:rFonts w:ascii="Times New Roman" w:hAnsi="Times New Roman" w:eastAsia="新細明體"/>
                <w:b/>
                <w:i w:val="0"/>
                <w:color w:val="C00000"/>
                <w:sz w:val="21"/>
              </w:rPr>
              <w:t>(A)</w:t>
            </w:r>
          </w:p>
        </w:tc>
        <w:tc>
          <w:tcPr>
            <w:tcW w:type="dxa" w:w="873"/>
          </w:tcPr>
          <w:p>
            <w:pPr>
              <w:jc w:val="center"/>
            </w:pPr>
            <w:r>
              <w:rPr>
                <w:rFonts w:ascii="Times New Roman" w:hAnsi="Times New Roman" w:eastAsia="新細明體"/>
                <w:b/>
                <w:i w:val="0"/>
                <w:color w:val="C00000"/>
                <w:sz w:val="21"/>
              </w:rPr>
              <w:t>(C)</w:t>
            </w:r>
          </w:p>
        </w:tc>
        <w:tc>
          <w:tcPr>
            <w:tcW w:type="dxa" w:w="873"/>
          </w:tcPr>
          <w:p>
            <w:pPr>
              <w:jc w:val="center"/>
            </w:pPr>
            <w:r>
              <w:rPr>
                <w:rFonts w:ascii="Times New Roman" w:hAnsi="Times New Roman" w:eastAsia="新細明體"/>
                <w:b/>
                <w:i w:val="0"/>
                <w:color w:val="C00000"/>
                <w:sz w:val="21"/>
              </w:rPr>
              <w:t>(D)</w:t>
            </w:r>
          </w:p>
        </w:tc>
        <w:tc>
          <w:tcPr>
            <w:tcW w:type="dxa" w:w="873"/>
          </w:tcPr>
          <w:p>
            <w:pPr>
              <w:jc w:val="center"/>
            </w:pPr>
            <w:r>
              <w:rPr>
                <w:rFonts w:ascii="Times New Roman" w:hAnsi="Times New Roman" w:eastAsia="新細明體"/>
                <w:b/>
                <w:i w:val="0"/>
                <w:color w:val="C00000"/>
                <w:sz w:val="21"/>
              </w:rPr>
              <w:t>(C)</w:t>
            </w:r>
          </w:p>
        </w:tc>
        <w:tc>
          <w:tcPr>
            <w:tcW w:type="dxa" w:w="873"/>
          </w:tcPr>
          <w:p>
            <w:pPr>
              <w:jc w:val="center"/>
            </w:pPr>
            <w:r>
              <w:rPr>
                <w:rFonts w:ascii="Times New Roman" w:hAnsi="Times New Roman" w:eastAsia="新細明體"/>
                <w:b/>
                <w:i w:val="0"/>
                <w:color w:val="C00000"/>
                <w:sz w:val="21"/>
              </w:rPr>
              <w:t>(C)</w:t>
            </w:r>
          </w:p>
        </w:tc>
        <w:tc>
          <w:tcPr>
            <w:tcW w:type="dxa" w:w="873"/>
          </w:tcPr>
          <w:p>
            <w:pPr>
              <w:jc w:val="center"/>
            </w:pPr>
            <w:r>
              <w:rPr>
                <w:rFonts w:ascii="Times New Roman" w:hAnsi="Times New Roman" w:eastAsia="新細明體"/>
                <w:b/>
                <w:i w:val="0"/>
                <w:color w:val="C00000"/>
                <w:sz w:val="21"/>
              </w:rPr>
              <w:t>(C)</w:t>
            </w:r>
          </w:p>
        </w:tc>
        <w:tc>
          <w:tcPr>
            <w:tcW w:type="dxa" w:w="873"/>
          </w:tcPr>
          <w:p>
            <w:pPr>
              <w:jc w:val="center"/>
            </w:pPr>
            <w:r>
              <w:rPr>
                <w:rFonts w:ascii="Times New Roman" w:hAnsi="Times New Roman" w:eastAsia="新細明體"/>
                <w:b/>
                <w:i w:val="0"/>
                <w:color w:val="C00000"/>
                <w:sz w:val="21"/>
              </w:rPr>
              <w:t>(B)</w:t>
            </w:r>
          </w:p>
        </w:tc>
      </w:tr>
    </w:tbl>
    <w:p>
      <w:pPr>
        <w:spacing w:before="160" w:after="240" w:line="276" w:lineRule="auto"/>
      </w:pPr>
      <w:r>
        <w:rPr>
          <w:rFonts w:ascii="Times New Roman" w:hAnsi="Times New Roman" w:eastAsia="新細明體"/>
          <w:b/>
          <w:i w:val="0"/>
          <w:sz w:val="21"/>
        </w:rPr>
        <w:t>【選項佈局與連續答案統計分析】</w:t>
        <w:br/>
      </w:r>
      <w:r>
        <w:rPr>
          <w:rFonts w:ascii="Times New Roman" w:hAnsi="Times New Roman" w:eastAsia="新細明體"/>
          <w:b w:val="0"/>
          <w:i w:val="0"/>
          <w:sz w:val="20"/>
        </w:rPr>
        <w:t>1. 各選項答案分布數：(A) 2 題、(B) 1 題、(C) 5 題、(D) 2 題。</w:t>
        <w:br/>
        <w:t>2. 最長連續相同答案：3 題（第 7 題至第 9 題答案均為 (C)）。</w:t>
        <w:br/>
        <w:t>（備註：本試卷嚴格執行 random.seed(115) 隨機打亂演算法，選項分布符合測驗隨機化規範。）</w:t>
      </w:r>
    </w:p>
    <w:p>
      <w:pPr>
        <w:keepNext/>
        <w:spacing w:before="320" w:after="160"/>
      </w:pPr>
      <w:r>
        <w:rPr>
          <w:rFonts w:ascii="Times New Roman" w:hAnsi="Times New Roman" w:eastAsia="新細明體"/>
          <w:b/>
          <w:i w:val="0"/>
          <w:color w:val="003366"/>
          <w:sz w:val="26"/>
        </w:rPr>
        <w:t>參、逐題答案、詳細解析與誘答分析</w:t>
      </w:r>
    </w:p>
    <w:p>
      <w:pPr>
        <w:keepNext/>
        <w:spacing w:before="160" w:after="40"/>
      </w:pPr>
      <w:r>
        <w:rPr>
          <w:rFonts w:ascii="Times New Roman" w:hAnsi="Times New Roman" w:eastAsia="新細明體"/>
          <w:b/>
          <w:i w:val="0"/>
          <w:color w:val="003366"/>
          <w:sz w:val="22"/>
        </w:rPr>
        <w:t>第 1 題  【正確答案：(D) 臺灣大員】</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荷蘭人曾於1604年與1622年兩度派兵佔領澎湖，意圖據為對華貿易前哨站，但均遭明朝軍隊抵抗與驅逐。在明朝官員交涉與建議下，荷蘭東印度公司於1624年撤離澎湖，轉往「臺灣大員」（今臺南安平）落腳，建立東亞轉口貿易與殖民統治樞紐。</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《source-voc-report.md》「壹、大航海時代與荷蘭東印度公司據臺背景」第 2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爪哇巴達維亞」。原因在於學生知道巴達維亞為荷蘭東印度公司的亞洲總部，容易混淆總部位置與1624年自澎湖撤離後在臺灣新建的東亞據點；而「日本長崎」與「廣州澳門」分別為德川幕府開放貿易港口及葡萄牙人據點，皆非荷蘭自澎湖撤退後建立的據點。</w:t>
      </w:r>
    </w:p>
    <w:p>
      <w:pPr>
        <w:keepNext/>
        <w:spacing w:before="160" w:after="40"/>
      </w:pPr>
      <w:r>
        <w:rPr>
          <w:rFonts w:ascii="Times New Roman" w:hAnsi="Times New Roman" w:eastAsia="新細明體"/>
          <w:b/>
          <w:i w:val="0"/>
          <w:color w:val="003366"/>
          <w:sz w:val="22"/>
        </w:rPr>
        <w:t>第 2 題  【正確答案：(C) 普羅民遮城】</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1652年發生郭懷一抗荷事件後，荷蘭東印度公司為了強化對臺江內海東岸腹地的控制並嚴加監控漢人，於1653年在赤崁地區興建「普羅民遮城」（即今赤崁樓遺址），與大員沙洲上的熱蘭遮城形成隔海相望的雙城格局。</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《source-voc-report.md》「貳、地理實體與雙城建造：熱蘭遮城與普羅民遮城」一、第 3 段與「伍、二、族群矛盾與郭懷一事件（1652年）」第 3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奧倫治城」。原因在於「奧倫治城」為熱蘭遮城1624年興建初期的舊稱，學生常記住其為荷治早期城堡名稱而誤選；「聖薩爾瓦多城」為西班牙人在基隆和平島興建的城堡，「安平鎮城」則是鄭成功改熱蘭遮城後的名稱，均非1653年於赤崁興建的城堡。</w:t>
      </w:r>
    </w:p>
    <w:p>
      <w:pPr>
        <w:keepNext/>
        <w:spacing w:before="160" w:after="40"/>
      </w:pPr>
      <w:r>
        <w:rPr>
          <w:rFonts w:ascii="Times New Roman" w:hAnsi="Times New Roman" w:eastAsia="新細明體"/>
          <w:b/>
          <w:i w:val="0"/>
          <w:color w:val="003366"/>
          <w:sz w:val="22"/>
        </w:rPr>
        <w:t>第 3 題  【正確答案：(A) 甲：中國生絲；乙：日本白銀】</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明朝華商將明朝/清初中國本土生產的生絲運至大員售予公司，公司再轉運至日本長崎販售；公司在日本換取「石見銀山」產出的白銀後，再將白銀運往巴達維亞與印度採買香料與棉布。因此甲為「中國生絲」，乙為「日本白銀」。</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《source-voc-report.md》「參、重商主義下的轉口貿易與資源利用結構」一、第 3–4 段及「陸、二、十七世紀大員轉口貿易主要商品流向表」</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甲：日本白銀；乙：中國生絲」。原因在於學生清楚「生絲換白銀」的貿易模式，但閱讀圖表時未仔細核對原始產地與流向，將輸出國（中國）與輸入國（日本）的商品方向前後顛倒；其餘選項將臺灣本土出口的鹿皮、蔗糖或印度棉布混入轉口路線，不符貿易流向表。</w:t>
      </w:r>
    </w:p>
    <w:p>
      <w:pPr>
        <w:keepNext/>
        <w:spacing w:before="160" w:after="40"/>
      </w:pPr>
      <w:r>
        <w:rPr>
          <w:rFonts w:ascii="Times New Roman" w:hAnsi="Times New Roman" w:eastAsia="新細明體"/>
          <w:b/>
          <w:i w:val="0"/>
          <w:color w:val="003366"/>
          <w:sz w:val="22"/>
        </w:rPr>
        <w:t>第 4 題  【正確答案：(A) 改用吃水10呎以下的平底船經澎湖轉運】</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1650年代大員港道淤淺致使吃水深的歸國海船無法進港，荷蘭東印度公司調整船隊部署，減少歸國海船，轉而派用「吃水10呎以下的平底船」（Fluyts）與小型快艇，先將貨物自大員運至澎湖，再由大船轉運至巴達維亞或長崎。</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《source-voc-report.md》「貳、地理實體與雙城建造：熱蘭遮城與普羅民遮城」二、第 4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開挖臺江內海將水深加深至20呎」。原因在於現代學生習慣以現代工程思維思考水道淤積問題，認為疏浚挖深是最直觀的解法，忽略十七世紀荷蘭人在技術與成本考量下採取的是航運疏運與澎湖轉運的彈性策略；其餘選項撤回巴達維亞或改至基隆淡水皆非史實。</w:t>
      </w:r>
    </w:p>
    <w:p>
      <w:pPr>
        <w:keepNext/>
        <w:spacing w:before="160" w:after="40"/>
      </w:pPr>
      <w:r>
        <w:rPr>
          <w:rFonts w:ascii="Times New Roman" w:hAnsi="Times New Roman" w:eastAsia="新細明體"/>
          <w:b/>
          <w:i w:val="0"/>
          <w:color w:val="003366"/>
          <w:sz w:val="22"/>
        </w:rPr>
        <w:t>第 5 題  【正確答案：(C) 孟加拉生絲經巴達維亞轉運至臺灣與日本】</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明清交替之際中國生絲供應斷絕，荷蘭東印度公司展現靈活的供應鏈調配能力，開闢將南亞「孟加拉生絲經巴達維亞轉運至臺灣與日本」的長途新航線，以彌補中國生絲缺口並維持對日貿易利潤。</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《source-voc-report.md》「參、重商主義下的轉口貿易與資源利用結構」一、第 5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臺灣本土大量抽絲剝繭自產生絲外銷」。原因在於學生誤以為荷治時期已在臺灣大力發展蠶絲業自給自足，但史實上臺灣本土當時主要開發甘蔗與鹿皮，並無養蠶抽絲之產業規模；「經由菲律賓馬尼拉直接向西班牙購入」則混淆了西屬馬尼拉的大帆船貿易網絡。</w:t>
      </w:r>
    </w:p>
    <w:p>
      <w:pPr>
        <w:keepNext/>
        <w:spacing w:before="160" w:after="40"/>
      </w:pPr>
      <w:r>
        <w:rPr>
          <w:rFonts w:ascii="Times New Roman" w:hAnsi="Times New Roman" w:eastAsia="新細明體"/>
          <w:b/>
          <w:i w:val="0"/>
          <w:color w:val="003366"/>
          <w:sz w:val="22"/>
        </w:rPr>
        <w:t>第 6 題  【正確答案：(D) 僅擁有耕作權且須繳地租與人頭稅】</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荷蘭東印度公司主張其為臺灣土地最高所有者，漢人開墾土地皆為「王田」。漢人墾戶「僅擁有耕作權且須繳地租與人頭稅」，無土地所有權，本質上為公司的租地農夫。</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《source-voc-report.md》「肆、殖民統治機制與原住民政策」三、2. 王田制度（Koningsveld）</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擁有土地所有權並可自由買賣土地」。原因在於學生將現代漢人開墾土地與私有財產權概念直接套用，未理解「王田」屬於國家/公司所有之性質，誤以為墾戶開墾後即自動取得所有權與買賣權。</w:t>
      </w:r>
    </w:p>
    <w:p>
      <w:pPr>
        <w:keepNext/>
        <w:spacing w:before="160" w:after="40"/>
      </w:pPr>
      <w:r>
        <w:rPr>
          <w:rFonts w:ascii="Times New Roman" w:hAnsi="Times New Roman" w:eastAsia="新細明體"/>
          <w:b/>
          <w:i w:val="0"/>
          <w:color w:val="003366"/>
          <w:sz w:val="22"/>
        </w:rPr>
        <w:t>第 7 題  【正確答案：(C) 甲】</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表中「甲、地方會議」說明完全正確（長官頒藤杖給長老，建立首次中央與地方二級行政體系）。選項「乙」錯在贌社制度須競標繳納高額承包金，而非不抽取承包金；選項「丙」錯在王田制度土地屬於公司而非無償頒給漢人，且未廢除人頭稅；選項「丁」錯在新港文書在荷蘭撤離後仍延續使用至清代乾隆、嘉慶年間。</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《source-voc-report.md》「肆、殖民統治機制與原住民政策」二、地方會議制度 及「陸、一、荷治時期四大核心殖民制度比較表」</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最多學生易誤選「乙」。原因在於學生對「贌社制度」運作機制理解模糊，常被選項中「鼓勵漢人與原住民貿易」的正面字眼誤導，忽視了「公開競標高額承包金」才是該制度的核心財產與稅收機制。</w:t>
      </w:r>
    </w:p>
    <w:p>
      <w:pPr>
        <w:keepNext/>
        <w:spacing w:before="160" w:after="40"/>
      </w:pPr>
      <w:r>
        <w:rPr>
          <w:rFonts w:ascii="Times New Roman" w:hAnsi="Times New Roman" w:eastAsia="新細明體"/>
          <w:b/>
          <w:i w:val="0"/>
          <w:color w:val="003366"/>
          <w:sz w:val="22"/>
        </w:rPr>
        <w:t>第 8 題  【正確答案：(C) 司法權與土地財產權】</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1635年底麻豆社等村社於軍事挫敗後與荷蘭簽訂《麻豆條約》，象徵法律關係的根本改變。原住民村社將部落的「司法權與土地財產權」讓渡給荷蘭聯省共和國，使荷蘭東印度公司擺脫付布租地的「租客」身份，成為臺灣土地的最高統治者。</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《source-voc-report.md》「肆、殖民統治機制與原住民政策」一、軍事征服與權力轉移：從「租客」到「主權者」第 4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鹿皮採集獨佔權與築城權」。原因在於學生高度記憶荷蘭人在臺灣興建城堡與出口鹿皮的經濟現象，誤以為條約內容直接規範具體的鹿皮獨佔與築城條款，忽略了《麻豆條約》的核心政治與法律意義在於主權層面的司法與土地財產權轉移。</w:t>
      </w:r>
    </w:p>
    <w:p>
      <w:pPr>
        <w:keepNext/>
        <w:spacing w:before="160" w:after="40"/>
      </w:pPr>
      <w:r>
        <w:rPr>
          <w:rFonts w:ascii="Times New Roman" w:hAnsi="Times New Roman" w:eastAsia="新細明體"/>
          <w:b/>
          <w:i w:val="0"/>
          <w:color w:val="003366"/>
          <w:sz w:val="22"/>
        </w:rPr>
        <w:t>第 9 題  【正確答案：(C) 清代乾隆、嘉慶年間（18世紀末至19世紀初）】</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新港文書（番仔契）具有強韌的文化生命力，即便1662年荷蘭人撤離臺灣後，平埔族原住民仍持續使用這種羅馬拼音文字紀錄土地地權交易與租賃，一直延續使用至「清代乾隆、嘉慶年間（18世紀末至19世紀初）」。</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《source-voc-report.md》「伍、文化變遷、族群抗爭與荷治終結」一、新港文書與宣教文化第 3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1662年荷蘭人撤離臺灣時即廢棄」。原因在於學生常直覺認為政權交替（荷蘭撤退）後，前朝引進的文字體系會立即隨政權消失而廢棄，未能理解原住民已將羅馬拼音文字實用化為紀錄地權契約的日常工具。</w:t>
      </w:r>
    </w:p>
    <w:p>
      <w:pPr>
        <w:keepNext/>
        <w:spacing w:before="160" w:after="40"/>
      </w:pPr>
      <w:r>
        <w:rPr>
          <w:rFonts w:ascii="Times New Roman" w:hAnsi="Times New Roman" w:eastAsia="新細明體"/>
          <w:b/>
          <w:i w:val="0"/>
          <w:color w:val="003366"/>
          <w:sz w:val="22"/>
        </w:rPr>
        <w:t>第 10 題  【正確答案：(B) 於1653年在赤崁興建普羅民遮城】</w:t>
        <w:br/>
      </w:r>
    </w:p>
    <w:p>
      <w:pPr>
        <w:spacing w:before="0" w:after="80" w:line="276" w:lineRule="auto"/>
        <w:ind w:left="227"/>
      </w:pPr>
      <w:r>
        <w:rPr>
          <w:rFonts w:ascii="Times New Roman" w:hAnsi="Times New Roman" w:eastAsia="新細明體"/>
          <w:b/>
          <w:i w:val="0"/>
          <w:sz w:val="20"/>
        </w:rPr>
        <w:t>【試題解析】：</w:t>
      </w:r>
      <w:r>
        <w:rPr>
          <w:rFonts w:ascii="Times New Roman" w:hAnsi="Times New Roman" w:eastAsia="新細明體"/>
          <w:b w:val="0"/>
          <w:i w:val="0"/>
          <w:sz w:val="20"/>
        </w:rPr>
        <w:t>1652年郭懷一事件平息後，荷蘭東印度公司為了記取漢人起事教訓並加強監控赤崁地區的漢人動向，於隔年「於1653年在赤崁興建普羅民遮城」（今赤崁樓）。</w:t>
        <w:br/>
      </w:r>
      <w:r>
        <w:rPr>
          <w:rFonts w:ascii="Times New Roman" w:hAnsi="Times New Roman" w:eastAsia="新細明體"/>
          <w:b/>
          <w:i w:val="0"/>
          <w:color w:val="286090"/>
          <w:sz w:val="20"/>
        </w:rPr>
        <w:t>【出處段落】：</w:t>
      </w:r>
      <w:r>
        <w:rPr>
          <w:rFonts w:ascii="Times New Roman" w:hAnsi="Times New Roman" w:eastAsia="新細明體"/>
          <w:b w:val="0"/>
          <w:i/>
          <w:sz w:val="19"/>
        </w:rPr>
        <w:t>《source-voc-report.md》「伍、二、族群矛盾與郭懷一事件（1652年）」第 3 段</w:t>
        <w:br/>
      </w:r>
      <w:r>
        <w:rPr>
          <w:rFonts w:ascii="Times New Roman" w:hAnsi="Times New Roman" w:eastAsia="新細明體"/>
          <w:b/>
          <w:i w:val="0"/>
          <w:color w:val="C00000"/>
          <w:sz w:val="20"/>
        </w:rPr>
        <w:t>【最多人選的錯誤選項誘答分析】：</w:t>
      </w:r>
      <w:r>
        <w:rPr>
          <w:rFonts w:ascii="Times New Roman" w:hAnsi="Times New Roman" w:eastAsia="新細明體"/>
          <w:b w:val="0"/>
          <w:i w:val="0"/>
          <w:sz w:val="20"/>
        </w:rPr>
        <w:t>最多學生易誤選「廢除人頭稅並放寬漢人貿易限制」。原因在於學生直覺認為發生人民大規模反抗後，統治當局會採取安撫柔性政策以平息怨氣，但史實上殖民當局反而採取興建城堡與加強軍事監控的強硬高壓手段。</w:t>
      </w:r>
    </w:p>
    <w:sectPr w:rsidR="00FC693F" w:rsidRPr="0006063C" w:rsidSect="00034616">
      <w:pgSz w:w="11906" w:h="16838"/>
      <w:pgMar w:top="1020" w:right="1020" w:bottom="1020" w:left="1020" w:header="720" w:footer="720" w:gutter="0"/>
      <w:cols w:space="425"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新細明體" w:hAnsi="新細明體"/>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